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ascii="Times New Roman" w:hAnsi="Times New Roman"/>
          <w:b/>
        </w:rPr>
      </w:pPr>
      <w:bookmarkStart w:id="0" w:name="OLE_LINK13"/>
      <w:bookmarkStart w:id="1" w:name="OLE_LINK12"/>
      <w:bookmarkStart w:id="2" w:name="OLE_LINK33"/>
      <w:bookmarkStart w:id="3" w:name="OLE_LINK34"/>
      <w:bookmarkStart w:id="4" w:name="OLE_LINK24"/>
      <w:r>
        <w:rPr>
          <w:rFonts w:ascii="Times New Roman" w:hAnsi="Times New Roman"/>
          <w:b/>
        </w:rPr>
        <w:t>3GPP TSG RAN WG1 #112</w:t>
      </w:r>
      <w:r>
        <w:rPr>
          <w:rFonts w:hint="eastAsia" w:ascii="Times New Roman" w:hAnsi="Times New Roman"/>
          <w:b/>
        </w:rPr>
        <w:t>bis-e</w:t>
      </w:r>
      <w:r>
        <w:rPr>
          <w:rFonts w:ascii="Times New Roman" w:hAnsi="Times New Roman"/>
          <w:b/>
        </w:rPr>
        <w:t xml:space="preserve">                                              R1-23</w:t>
      </w:r>
      <w:r>
        <w:rPr>
          <w:rFonts w:hint="eastAsia" w:ascii="Times New Roman" w:hAnsi="Times New Roman"/>
          <w:b/>
        </w:rPr>
        <w:t>03280</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rPr>
      </w:pPr>
      <w:r>
        <w:rPr>
          <w:rFonts w:hint="eastAsia" w:ascii="Times New Roman" w:hAnsi="Times New Roman"/>
          <w:b/>
        </w:rPr>
        <w:t>e-meeting</w:t>
      </w:r>
      <w:r>
        <w:rPr>
          <w:rFonts w:ascii="Times New Roman" w:hAnsi="Times New Roman"/>
          <w:b/>
          <w:lang w:eastAsia="ja-JP"/>
        </w:rPr>
        <w:t xml:space="preserve">, </w:t>
      </w:r>
      <w:r>
        <w:rPr>
          <w:rFonts w:hint="eastAsia" w:ascii="Times New Roman" w:hAnsi="Times New Roman"/>
          <w:b/>
        </w:rPr>
        <w:t>April</w:t>
      </w:r>
      <w:r>
        <w:rPr>
          <w:rFonts w:ascii="Times New Roman" w:hAnsi="Times New Roman"/>
          <w:b/>
          <w:lang w:eastAsia="ja-JP"/>
        </w:rPr>
        <w:t xml:space="preserve"> </w:t>
      </w:r>
      <w:r>
        <w:rPr>
          <w:rFonts w:hint="eastAsia" w:ascii="Times New Roman" w:hAnsi="Times New Roman"/>
          <w:b/>
        </w:rPr>
        <w:t>1</w:t>
      </w:r>
      <w:r>
        <w:rPr>
          <w:rFonts w:ascii="Times New Roman" w:hAnsi="Times New Roman"/>
          <w:b/>
          <w:lang w:eastAsia="ja-JP"/>
        </w:rPr>
        <w:t>7</w:t>
      </w:r>
      <w:r>
        <w:rPr>
          <w:rFonts w:ascii="Times New Roman" w:hAnsi="Times New Roman"/>
          <w:b/>
          <w:vertAlign w:val="superscript"/>
          <w:lang w:eastAsia="ja-JP"/>
        </w:rPr>
        <w:t>th</w:t>
      </w:r>
      <w:r>
        <w:rPr>
          <w:rFonts w:ascii="Times New Roman" w:hAnsi="Times New Roman"/>
          <w:b/>
        </w:rPr>
        <w:t xml:space="preserve"> - </w:t>
      </w:r>
      <w:r>
        <w:rPr>
          <w:rFonts w:hint="eastAsia" w:ascii="Times New Roman" w:hAnsi="Times New Roman"/>
          <w:b/>
        </w:rPr>
        <w:t>26</w:t>
      </w:r>
      <w:r>
        <w:rPr>
          <w:rFonts w:hint="eastAsia" w:ascii="Times New Roman" w:hAnsi="Times New Roman"/>
          <w:b/>
          <w:vertAlign w:val="superscript"/>
        </w:rPr>
        <w:t>th</w:t>
      </w:r>
      <w:r>
        <w:rPr>
          <w:rFonts w:ascii="Times New Roman" w:hAnsi="Times New Roman"/>
          <w:b/>
          <w:lang w:eastAsia="ja-JP"/>
        </w:rPr>
        <w:t>, 2023</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p>
    <w:bookmarkEnd w:id="0"/>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b/>
        </w:rPr>
      </w:pPr>
      <w:bookmarkStart w:id="5" w:name="OLE_LINK1"/>
      <w:r>
        <w:rPr>
          <w:rFonts w:ascii="Times New Roman" w:hAnsi="Times New Roman"/>
          <w:b/>
        </w:rPr>
        <w:t>Source:</w:t>
      </w:r>
      <w:r>
        <w:rPr>
          <w:rFonts w:ascii="Times New Roman" w:hAnsi="Times New Roman"/>
          <w:b/>
        </w:rPr>
        <w:tab/>
      </w:r>
      <w:r>
        <w:rPr>
          <w:rFonts w:ascii="Times New Roman" w:hAnsi="Times New Roman"/>
          <w:b/>
        </w:rPr>
        <w:t>ZTE</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Title:</w:t>
      </w:r>
      <w:r>
        <w:rPr>
          <w:rFonts w:ascii="Times New Roman" w:hAnsi="Times New Roman"/>
          <w:b/>
        </w:rPr>
        <w:tab/>
      </w:r>
      <w:r>
        <w:rPr>
          <w:rFonts w:ascii="Times New Roman" w:hAnsi="Times New Roman"/>
          <w:b/>
        </w:rPr>
        <w:t>Discussion on low power high accuracy positioning</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Agenda item:</w:t>
      </w:r>
      <w:r>
        <w:rPr>
          <w:rFonts w:ascii="Times New Roman" w:hAnsi="Times New Roman"/>
          <w:b/>
        </w:rPr>
        <w:tab/>
      </w:r>
      <w:r>
        <w:rPr>
          <w:rFonts w:ascii="Times New Roman" w:hAnsi="Times New Roman"/>
          <w:b/>
        </w:rPr>
        <w:t>9.5.3</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Document for:</w:t>
      </w:r>
      <w:r>
        <w:rPr>
          <w:rFonts w:ascii="Times New Roman" w:hAnsi="Times New Roman"/>
          <w:b/>
        </w:rPr>
        <w:tab/>
      </w:r>
      <w:r>
        <w:rPr>
          <w:rFonts w:ascii="Times New Roman" w:hAnsi="Times New Roman"/>
          <w:b/>
        </w:rPr>
        <w:t>Discussion and Decision</w:t>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 xml:space="preserve">Introduction </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3GPP TSG RAN </w:t>
      </w:r>
      <w:r>
        <w:rPr>
          <w:rFonts w:hint="eastAsia" w:ascii="Times New Roman" w:hAnsi="Times New Roman"/>
          <w:sz w:val="20"/>
          <w:szCs w:val="20"/>
        </w:rPr>
        <w:t>WG1</w:t>
      </w:r>
      <w:r>
        <w:rPr>
          <w:rFonts w:ascii="Times New Roman" w:hAnsi="Times New Roman"/>
          <w:sz w:val="20"/>
          <w:szCs w:val="20"/>
        </w:rPr>
        <w:t xml:space="preserve"> #</w:t>
      </w:r>
      <w:r>
        <w:rPr>
          <w:rFonts w:hint="eastAsia" w:ascii="Times New Roman" w:hAnsi="Times New Roman"/>
          <w:sz w:val="20"/>
          <w:szCs w:val="20"/>
        </w:rPr>
        <w:t>112 meeting</w:t>
      </w:r>
      <w:r>
        <w:rPr>
          <w:rFonts w:ascii="Times New Roman" w:hAnsi="Times New Roman"/>
          <w:sz w:val="20"/>
          <w:szCs w:val="20"/>
        </w:rPr>
        <w:t xml:space="preserve"> [1], the following </w:t>
      </w:r>
      <w:r>
        <w:rPr>
          <w:rFonts w:hint="eastAsia" w:ascii="Times New Roman" w:hAnsi="Times New Roman"/>
          <w:sz w:val="20"/>
          <w:szCs w:val="20"/>
        </w:rPr>
        <w:t xml:space="preserve">agreements </w:t>
      </w:r>
      <w:r>
        <w:rPr>
          <w:rFonts w:ascii="Times New Roman" w:hAnsi="Times New Roman"/>
          <w:sz w:val="20"/>
          <w:szCs w:val="20"/>
        </w:rPr>
        <w:t>were approved for LPHAP.</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adjustRightInd w:val="0"/>
              <w:snapToGrid w:val="0"/>
              <w:spacing w:after="180" w:afterLines="50" w:line="240" w:lineRule="auto"/>
              <w:rPr>
                <w:rFonts w:ascii="Times New Roman" w:hAnsi="Times New Roman"/>
                <w:sz w:val="20"/>
                <w:szCs w:val="20"/>
              </w:rPr>
            </w:pPr>
            <w:r>
              <w:rPr>
                <w:rFonts w:ascii="Times New Roman" w:hAnsi="Times New Roman"/>
                <w:sz w:val="20"/>
                <w:szCs w:val="20"/>
              </w:rPr>
              <w:t>For SRS for positioning configuration in multiple cells for UEs in RRC_INACTIVE state, support the following:</w:t>
            </w:r>
          </w:p>
          <w:p>
            <w:pPr>
              <w:numPr>
                <w:ilvl w:val="0"/>
                <w:numId w:val="4"/>
              </w:numPr>
              <w:adjustRightInd w:val="0"/>
              <w:snapToGrid w:val="0"/>
              <w:spacing w:after="180" w:afterLines="50" w:line="240" w:lineRule="auto"/>
              <w:ind w:hanging="363"/>
              <w:contextualSpacing/>
              <w:jc w:val="both"/>
              <w:rPr>
                <w:rFonts w:ascii="Times New Roman" w:hAnsi="Times New Roman" w:eastAsia="宋体"/>
                <w:sz w:val="20"/>
                <w:szCs w:val="20"/>
              </w:rPr>
            </w:pPr>
            <w:r>
              <w:rPr>
                <w:rFonts w:ascii="Times New Roman" w:hAnsi="Times New Roman" w:eastAsia="宋体"/>
                <w:sz w:val="20"/>
                <w:szCs w:val="20"/>
              </w:rPr>
              <w:t>An SRS positioning validity area consists of cells configured in the same band and the same carrier, and the following parameters with respect to BWP information of SRS for positioning configuration are commonly applied across cells within the validity area:</w:t>
            </w:r>
          </w:p>
          <w:p>
            <w:pPr>
              <w:numPr>
                <w:ilvl w:val="1"/>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BWP parameters</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locationAndBandwidth</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subcarrierSpacing</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cyclicPrefix</w:t>
            </w:r>
          </w:p>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pStyle w:val="94"/>
              <w:snapToGrid w:val="0"/>
              <w:spacing w:afterLines="50" w:line="240" w:lineRule="auto"/>
              <w:ind w:left="0"/>
              <w:jc w:val="both"/>
              <w:rPr>
                <w:rFonts w:eastAsia="等线"/>
                <w:sz w:val="20"/>
                <w:lang w:eastAsia="zh-CN"/>
              </w:rPr>
            </w:pPr>
            <w:r>
              <w:rPr>
                <w:rFonts w:eastAsia="等线"/>
                <w:sz w:val="20"/>
                <w:lang w:eastAsia="zh-CN"/>
              </w:rPr>
              <w:t>For SRS for positioning configuration in multiple cells for a UE in RRC_INACTIVE state, at least the following parameters in SRS for positioning configuration are commonly configured across cells within the validity area:</w:t>
            </w:r>
          </w:p>
          <w:p>
            <w:pPr>
              <w:numPr>
                <w:ilvl w:val="0"/>
                <w:numId w:val="4"/>
              </w:numPr>
              <w:adjustRightInd w:val="0"/>
              <w:snapToGrid w:val="0"/>
              <w:spacing w:after="180" w:afterLines="50" w:line="240" w:lineRule="auto"/>
              <w:ind w:hanging="363"/>
              <w:contextualSpacing/>
              <w:jc w:val="both"/>
              <w:rPr>
                <w:rFonts w:ascii="Times New Roman" w:hAnsi="Times New Roman" w:eastAsia="宋体"/>
                <w:sz w:val="20"/>
                <w:szCs w:val="20"/>
              </w:rPr>
            </w:pPr>
            <w:r>
              <w:rPr>
                <w:rFonts w:ascii="Times New Roman" w:hAnsi="Times New Roman" w:eastAsia="宋体"/>
                <w:sz w:val="20"/>
                <w:szCs w:val="20"/>
              </w:rPr>
              <w:t>srs-PosConfig</w:t>
            </w:r>
          </w:p>
          <w:p>
            <w:pPr>
              <w:numPr>
                <w:ilvl w:val="1"/>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SRS-PosResourceSet</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srs-PosResourceSetId</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srs-PosResourceIdList</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resourceType</w:t>
            </w:r>
          </w:p>
          <w:p>
            <w:pPr>
              <w:numPr>
                <w:ilvl w:val="1"/>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SRS-PosResource</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srs-PosResourceId</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transmissionComb</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resourceMapping</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freqDomainShift</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freqHopping</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groupOrSequenceHopping-r16</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resourceType</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FFS: whether sequenceId is configured commonly across cells or per cell</w:t>
            </w:r>
          </w:p>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pStyle w:val="94"/>
              <w:snapToGrid w:val="0"/>
              <w:spacing w:afterLines="50" w:line="240" w:lineRule="auto"/>
              <w:ind w:left="0"/>
              <w:jc w:val="both"/>
              <w:rPr>
                <w:sz w:val="20"/>
                <w:lang w:eastAsia="zh-CN"/>
              </w:rPr>
            </w:pPr>
            <w:r>
              <w:rPr>
                <w:rFonts w:eastAsia="等线"/>
                <w:sz w:val="20"/>
                <w:lang w:eastAsia="zh-CN"/>
              </w:rPr>
              <w:t>From RAN1 perspective, it is feasible to configure SRS positioning validity area-specific TA timer (e.g., with larger values) for a UE in RRC_INACTIVE state. Details can be up to RAN2.</w:t>
            </w:r>
          </w:p>
          <w:p>
            <w:pPr>
              <w:numPr>
                <w:ilvl w:val="0"/>
                <w:numId w:val="4"/>
              </w:numPr>
              <w:adjustRightInd w:val="0"/>
              <w:snapToGrid w:val="0"/>
              <w:spacing w:after="180" w:afterLines="50" w:line="240" w:lineRule="auto"/>
              <w:ind w:hanging="363"/>
              <w:contextualSpacing/>
              <w:jc w:val="both"/>
              <w:rPr>
                <w:rFonts w:ascii="Times New Roman" w:hAnsi="Times New Roman" w:eastAsia="宋体"/>
                <w:sz w:val="20"/>
                <w:szCs w:val="20"/>
              </w:rPr>
            </w:pPr>
            <w:r>
              <w:rPr>
                <w:rFonts w:ascii="Times New Roman" w:hAnsi="Times New Roman" w:eastAsia="宋体"/>
                <w:sz w:val="20"/>
                <w:szCs w:val="20"/>
              </w:rPr>
              <w:t>For TA validation, use of area-specific RSRP change threshold is feasible</w:t>
            </w:r>
          </w:p>
          <w:p>
            <w:pPr>
              <w:numPr>
                <w:ilvl w:val="1"/>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FFS: which RS is the reference RS for the RSRP change threshold</w:t>
            </w:r>
          </w:p>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pStyle w:val="94"/>
              <w:snapToGrid w:val="0"/>
              <w:spacing w:afterLines="50" w:line="240" w:lineRule="auto"/>
              <w:ind w:left="0"/>
              <w:jc w:val="both"/>
              <w:rPr>
                <w:iCs/>
                <w:sz w:val="20"/>
              </w:rPr>
            </w:pPr>
            <w:r>
              <w:rPr>
                <w:rFonts w:eastAsia="等线"/>
                <w:sz w:val="20"/>
                <w:lang w:eastAsia="zh-CN"/>
              </w:rPr>
              <w:t>For the determination of UL timing to transmit SRS for positioning by UEs in RRC_INACTIVE state within the SRS positioning validity area</w:t>
            </w:r>
            <w:r>
              <w:rPr>
                <w:sz w:val="20"/>
                <w:lang w:eastAsia="zh-CN"/>
              </w:rPr>
              <w:t>:</w:t>
            </w:r>
          </w:p>
          <w:p>
            <w:pPr>
              <w:pStyle w:val="94"/>
              <w:numPr>
                <w:ilvl w:val="1"/>
                <w:numId w:val="5"/>
              </w:numPr>
              <w:snapToGrid w:val="0"/>
              <w:spacing w:afterLines="50" w:line="240" w:lineRule="auto"/>
              <w:jc w:val="both"/>
              <w:rPr>
                <w:sz w:val="20"/>
                <w:lang w:eastAsia="zh-CN"/>
              </w:rPr>
            </w:pPr>
            <w:r>
              <w:rPr>
                <w:sz w:val="20"/>
                <w:lang w:eastAsia="zh-CN"/>
              </w:rPr>
              <w:t>For the UL timing advance, further study the following options, including the DL reference timing for each option:</w:t>
            </w:r>
          </w:p>
          <w:p>
            <w:pPr>
              <w:numPr>
                <w:ilvl w:val="1"/>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Option 1: UE maintains the TA obtained from the last serving cell within the validity area</w:t>
            </w:r>
          </w:p>
          <w:p>
            <w:pPr>
              <w:numPr>
                <w:ilvl w:val="1"/>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 xml:space="preserve">Option 2: UE autonomously adjusts the TA </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FFS: how the UE adjusts the TA, e.g. up to UE implementation, or based on the TA from the last serving cell and the DL time difference measurement of SSBs from the last serving cell and the new camping cell.</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FFS: whether there is RAN1 specification impact</w:t>
            </w:r>
          </w:p>
          <w:p>
            <w:pPr>
              <w:numPr>
                <w:ilvl w:val="1"/>
                <w:numId w:val="4"/>
              </w:numPr>
              <w:adjustRightInd w:val="0"/>
              <w:snapToGrid w:val="0"/>
              <w:spacing w:after="180" w:afterLines="50" w:line="240" w:lineRule="auto"/>
              <w:contextualSpacing/>
              <w:jc w:val="both"/>
              <w:rPr>
                <w:rFonts w:ascii="Times New Roman" w:hAnsi="Times New Roman" w:eastAsia="等线"/>
                <w:sz w:val="20"/>
                <w:szCs w:val="20"/>
              </w:rPr>
            </w:pPr>
            <w:r>
              <w:rPr>
                <w:rFonts w:ascii="Times New Roman" w:hAnsi="Times New Roman" w:eastAsia="等线"/>
                <w:sz w:val="20"/>
                <w:szCs w:val="20"/>
              </w:rPr>
              <w:t>Option 3: UE maintains multiple TA values, e.g. UE obtains TA using RACH</w:t>
            </w:r>
          </w:p>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pStyle w:val="94"/>
              <w:snapToGrid w:val="0"/>
              <w:spacing w:afterLines="50" w:line="240" w:lineRule="auto"/>
              <w:ind w:left="0"/>
              <w:jc w:val="both"/>
              <w:rPr>
                <w:iCs/>
                <w:strike/>
                <w:sz w:val="20"/>
              </w:rPr>
            </w:pPr>
            <w:r>
              <w:rPr>
                <w:sz w:val="20"/>
                <w:lang w:eastAsia="zh-CN"/>
              </w:rPr>
              <w:t xml:space="preserve">For the spatial relation of an SRS for positioning configuration in multiple cells for UEs in RRC_INACTIVE state, further study the following options: </w:t>
            </w:r>
          </w:p>
          <w:p>
            <w:pPr>
              <w:pStyle w:val="94"/>
              <w:numPr>
                <w:ilvl w:val="1"/>
                <w:numId w:val="5"/>
              </w:numPr>
              <w:snapToGrid w:val="0"/>
              <w:spacing w:afterLines="50" w:line="240" w:lineRule="auto"/>
              <w:jc w:val="both"/>
              <w:rPr>
                <w:sz w:val="20"/>
                <w:lang w:eastAsia="zh-CN"/>
              </w:rPr>
            </w:pPr>
            <w:r>
              <w:rPr>
                <w:sz w:val="20"/>
                <w:lang w:eastAsia="zh-CN"/>
              </w:rPr>
              <w:t>Option 1: Spatial relation information is absent in the configuration</w:t>
            </w:r>
          </w:p>
          <w:p>
            <w:pPr>
              <w:pStyle w:val="94"/>
              <w:numPr>
                <w:ilvl w:val="2"/>
                <w:numId w:val="5"/>
              </w:numPr>
              <w:snapToGrid w:val="0"/>
              <w:spacing w:afterLines="50" w:line="240" w:lineRule="auto"/>
              <w:jc w:val="both"/>
              <w:rPr>
                <w:sz w:val="20"/>
                <w:lang w:eastAsia="zh-CN"/>
              </w:rPr>
            </w:pPr>
            <w:r>
              <w:rPr>
                <w:sz w:val="20"/>
                <w:lang w:eastAsia="zh-CN"/>
              </w:rPr>
              <w:t>FFS: different approaches for down selection at least include the following:</w:t>
            </w:r>
          </w:p>
          <w:p>
            <w:pPr>
              <w:pStyle w:val="94"/>
              <w:numPr>
                <w:ilvl w:val="3"/>
                <w:numId w:val="5"/>
              </w:numPr>
              <w:snapToGrid w:val="0"/>
              <w:spacing w:afterLines="50" w:line="240" w:lineRule="auto"/>
              <w:jc w:val="both"/>
              <w:rPr>
                <w:sz w:val="20"/>
                <w:lang w:eastAsia="zh-CN"/>
              </w:rPr>
            </w:pPr>
            <w:r>
              <w:rPr>
                <w:rFonts w:eastAsia="等线"/>
                <w:sz w:val="20"/>
                <w:lang w:eastAsia="zh-CN"/>
              </w:rPr>
              <w:t>1a: UE transmits SRS for positioning resources using different spatial domain transmission filter</w:t>
            </w:r>
          </w:p>
          <w:p>
            <w:pPr>
              <w:pStyle w:val="94"/>
              <w:numPr>
                <w:ilvl w:val="3"/>
                <w:numId w:val="5"/>
              </w:numPr>
              <w:snapToGrid w:val="0"/>
              <w:spacing w:afterLines="50" w:line="240" w:lineRule="auto"/>
              <w:jc w:val="both"/>
              <w:rPr>
                <w:sz w:val="20"/>
                <w:lang w:eastAsia="zh-CN"/>
              </w:rPr>
            </w:pPr>
            <w:r>
              <w:rPr>
                <w:rFonts w:eastAsia="等线"/>
                <w:sz w:val="20"/>
                <w:lang w:eastAsia="zh-CN"/>
              </w:rPr>
              <w:t>1b: UE transmits SRS for positioning resource(s) using a fixed spatial domain transmission filter</w:t>
            </w:r>
          </w:p>
          <w:p>
            <w:pPr>
              <w:numPr>
                <w:ilvl w:val="2"/>
                <w:numId w:val="4"/>
              </w:numPr>
              <w:adjustRightInd w:val="0"/>
              <w:snapToGrid w:val="0"/>
              <w:spacing w:after="180" w:afterLines="50" w:line="240" w:lineRule="auto"/>
              <w:contextualSpacing/>
              <w:jc w:val="both"/>
              <w:rPr>
                <w:rFonts w:ascii="Times New Roman" w:hAnsi="Times New Roman"/>
                <w:sz w:val="20"/>
                <w:szCs w:val="20"/>
              </w:rPr>
            </w:pPr>
            <w:r>
              <w:rPr>
                <w:rFonts w:ascii="Times New Roman" w:hAnsi="Times New Roman" w:eastAsia="等线"/>
                <w:sz w:val="20"/>
                <w:szCs w:val="20"/>
              </w:rPr>
              <w:t>FFS criterion on UE determination of the fixed spatial domain transmission filter (e.g., up to UE implementation, based on a selected SSB of the camping cell, based on the configured path-loss RS such as SSB, etc.)</w:t>
            </w:r>
          </w:p>
          <w:p>
            <w:pPr>
              <w:pStyle w:val="94"/>
              <w:numPr>
                <w:ilvl w:val="1"/>
                <w:numId w:val="5"/>
              </w:numPr>
              <w:snapToGrid w:val="0"/>
              <w:spacing w:afterLines="50" w:line="240" w:lineRule="auto"/>
              <w:jc w:val="both"/>
              <w:rPr>
                <w:sz w:val="20"/>
                <w:lang w:eastAsia="zh-CN"/>
              </w:rPr>
            </w:pPr>
            <w:r>
              <w:rPr>
                <w:rFonts w:eastAsia="等线"/>
                <w:sz w:val="20"/>
                <w:lang w:eastAsia="zh-CN"/>
              </w:rPr>
              <w:t>Option 2: Spatial relation information is provided in the configuration</w:t>
            </w:r>
          </w:p>
          <w:p>
            <w:pPr>
              <w:pStyle w:val="94"/>
              <w:numPr>
                <w:ilvl w:val="2"/>
                <w:numId w:val="5"/>
              </w:numPr>
              <w:snapToGrid w:val="0"/>
              <w:spacing w:afterLines="50" w:line="240" w:lineRule="auto"/>
              <w:jc w:val="both"/>
              <w:rPr>
                <w:sz w:val="20"/>
                <w:lang w:eastAsia="zh-CN"/>
              </w:rPr>
            </w:pPr>
            <w:r>
              <w:rPr>
                <w:rFonts w:eastAsia="等线"/>
                <w:sz w:val="20"/>
                <w:lang w:eastAsia="zh-CN"/>
              </w:rPr>
              <w:t>FFS details on the configuration and corresponding UE behavior, including whether the information is configured for all or subset of cells</w:t>
            </w:r>
          </w:p>
          <w:p>
            <w:pPr>
              <w:pStyle w:val="94"/>
              <w:numPr>
                <w:ilvl w:val="2"/>
                <w:numId w:val="5"/>
              </w:numPr>
              <w:snapToGrid w:val="0"/>
              <w:spacing w:afterLines="50" w:line="240" w:lineRule="auto"/>
              <w:jc w:val="both"/>
              <w:rPr>
                <w:sz w:val="20"/>
                <w:lang w:eastAsia="zh-CN"/>
              </w:rPr>
            </w:pPr>
            <w:r>
              <w:rPr>
                <w:rFonts w:eastAsia="等线"/>
                <w:sz w:val="20"/>
                <w:lang w:eastAsia="zh-CN"/>
              </w:rPr>
              <w:t>FFS signaling to configure the spatial relation information, e.g., via SRS activation message.</w:t>
            </w:r>
          </w:p>
          <w:p>
            <w:pPr>
              <w:pStyle w:val="94"/>
              <w:numPr>
                <w:ilvl w:val="1"/>
                <w:numId w:val="5"/>
              </w:numPr>
              <w:snapToGrid w:val="0"/>
              <w:spacing w:afterLines="50" w:line="240" w:lineRule="auto"/>
              <w:jc w:val="both"/>
              <w:rPr>
                <w:sz w:val="20"/>
                <w:lang w:eastAsia="zh-CN"/>
              </w:rPr>
            </w:pPr>
            <w:r>
              <w:rPr>
                <w:sz w:val="20"/>
                <w:lang w:eastAsia="zh-CN"/>
              </w:rPr>
              <w:t>Note: UE power consumption needs to be taken into account</w:t>
            </w:r>
          </w:p>
          <w:p>
            <w:pPr>
              <w:pStyle w:val="94"/>
              <w:numPr>
                <w:ilvl w:val="1"/>
                <w:numId w:val="5"/>
              </w:numPr>
              <w:snapToGrid w:val="0"/>
              <w:spacing w:afterLines="50" w:line="240" w:lineRule="auto"/>
              <w:jc w:val="both"/>
              <w:rPr>
                <w:b/>
                <w:bCs/>
                <w:sz w:val="20"/>
                <w:lang w:eastAsia="zh-CN"/>
              </w:rPr>
            </w:pPr>
            <w:r>
              <w:rPr>
                <w:sz w:val="20"/>
                <w:lang w:eastAsia="zh-CN"/>
              </w:rPr>
              <w:t xml:space="preserve">FFS validity criteria of spatial relation for the configured RS and UE behavior if it determines that the validity criteria of </w:t>
            </w:r>
            <w:r>
              <w:rPr>
                <w:rFonts w:eastAsia="等线"/>
                <w:sz w:val="20"/>
                <w:lang w:eastAsia="zh-CN"/>
              </w:rPr>
              <w:t>spatial</w:t>
            </w:r>
            <w:r>
              <w:rPr>
                <w:sz w:val="20"/>
                <w:lang w:eastAsia="zh-CN"/>
              </w:rPr>
              <w:t xml:space="preserve"> relation for the configured RS is not met, if any, to avoid frequent RRC connection for SRS (re)configuration.</w:t>
            </w:r>
          </w:p>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pStyle w:val="101"/>
              <w:overflowPunct/>
              <w:autoSpaceDE/>
              <w:autoSpaceDN/>
              <w:snapToGrid w:val="0"/>
              <w:spacing w:before="0" w:after="180" w:afterLines="50" w:line="240" w:lineRule="auto"/>
              <w:textAlignment w:val="auto"/>
              <w:rPr>
                <w:b/>
                <w:bCs/>
                <w:iCs/>
                <w:sz w:val="20"/>
                <w:szCs w:val="20"/>
                <w:lang w:val="en-GB"/>
              </w:rPr>
            </w:pPr>
            <w:r>
              <w:rPr>
                <w:sz w:val="20"/>
                <w:szCs w:val="20"/>
              </w:rPr>
              <w:t>For the power control of an SRS for positioning configuration in multiple cells for UEs in RRC_INACTIVE state, further study the following options:</w:t>
            </w:r>
          </w:p>
          <w:p>
            <w:pPr>
              <w:pStyle w:val="94"/>
              <w:numPr>
                <w:ilvl w:val="1"/>
                <w:numId w:val="5"/>
              </w:numPr>
              <w:snapToGrid w:val="0"/>
              <w:spacing w:afterLines="50" w:line="240" w:lineRule="auto"/>
              <w:jc w:val="both"/>
              <w:rPr>
                <w:sz w:val="20"/>
                <w:lang w:eastAsia="zh-CN"/>
              </w:rPr>
            </w:pPr>
            <w:r>
              <w:rPr>
                <w:sz w:val="20"/>
                <w:lang w:eastAsia="zh-CN"/>
              </w:rPr>
              <w:t xml:space="preserve">Option 1: Pathloss RS is absent in the configuration. </w:t>
            </w:r>
          </w:p>
          <w:p>
            <w:pPr>
              <w:pStyle w:val="94"/>
              <w:numPr>
                <w:ilvl w:val="2"/>
                <w:numId w:val="5"/>
              </w:numPr>
              <w:snapToGrid w:val="0"/>
              <w:spacing w:afterLines="50" w:line="240" w:lineRule="auto"/>
              <w:jc w:val="both"/>
              <w:rPr>
                <w:sz w:val="20"/>
                <w:lang w:eastAsia="zh-CN"/>
              </w:rPr>
            </w:pPr>
            <w:r>
              <w:rPr>
                <w:sz w:val="20"/>
                <w:lang w:eastAsia="zh-CN"/>
              </w:rPr>
              <w:t>FFS criterion on UE determination of pathloss RS (e.g., up to UE implementation, UE selects an SSB as the pathloss RS based on DL measurements from multiple SSBs of cells within the validity area, etc.).</w:t>
            </w:r>
          </w:p>
          <w:p>
            <w:pPr>
              <w:pStyle w:val="94"/>
              <w:numPr>
                <w:ilvl w:val="1"/>
                <w:numId w:val="5"/>
              </w:numPr>
              <w:snapToGrid w:val="0"/>
              <w:spacing w:afterLines="50" w:line="240" w:lineRule="auto"/>
              <w:jc w:val="both"/>
              <w:rPr>
                <w:sz w:val="20"/>
                <w:lang w:eastAsia="zh-CN"/>
              </w:rPr>
            </w:pPr>
            <w:r>
              <w:rPr>
                <w:sz w:val="20"/>
                <w:lang w:eastAsia="zh-CN"/>
              </w:rPr>
              <w:t>Option</w:t>
            </w:r>
            <w:r>
              <w:rPr>
                <w:rFonts w:eastAsia="等线"/>
                <w:sz w:val="20"/>
                <w:lang w:eastAsia="zh-CN"/>
              </w:rPr>
              <w:t xml:space="preserve"> 2: </w:t>
            </w:r>
            <w:r>
              <w:rPr>
                <w:sz w:val="20"/>
                <w:lang w:eastAsia="zh-CN"/>
              </w:rPr>
              <w:t>Pathloss RS is provided in the configuration</w:t>
            </w:r>
          </w:p>
          <w:p>
            <w:pPr>
              <w:pStyle w:val="94"/>
              <w:numPr>
                <w:ilvl w:val="2"/>
                <w:numId w:val="5"/>
              </w:numPr>
              <w:snapToGrid w:val="0"/>
              <w:spacing w:afterLines="50" w:line="240" w:lineRule="auto"/>
              <w:jc w:val="both"/>
              <w:rPr>
                <w:sz w:val="20"/>
                <w:lang w:eastAsia="zh-CN"/>
              </w:rPr>
            </w:pPr>
            <w:r>
              <w:rPr>
                <w:rFonts w:eastAsia="等线"/>
                <w:sz w:val="20"/>
                <w:lang w:eastAsia="zh-CN"/>
              </w:rPr>
              <w:t xml:space="preserve">FFS details on configuration (e.g., pathloss RS is configured as a cell-agnostic DL RS, pathloss RS is configured as a fixed SSB within the validity area, etc.), including whether the information is </w:t>
            </w:r>
            <w:r>
              <w:rPr>
                <w:sz w:val="20"/>
                <w:lang w:eastAsia="zh-CN"/>
              </w:rPr>
              <w:t xml:space="preserve">configured </w:t>
            </w:r>
            <w:r>
              <w:rPr>
                <w:rFonts w:eastAsia="等线"/>
                <w:sz w:val="20"/>
                <w:lang w:eastAsia="zh-CN"/>
              </w:rPr>
              <w:t>for all or a subset of cells within the validity area</w:t>
            </w:r>
          </w:p>
          <w:p>
            <w:pPr>
              <w:pStyle w:val="94"/>
              <w:numPr>
                <w:ilvl w:val="2"/>
                <w:numId w:val="5"/>
              </w:numPr>
              <w:snapToGrid w:val="0"/>
              <w:spacing w:afterLines="50" w:line="240" w:lineRule="auto"/>
              <w:jc w:val="both"/>
              <w:rPr>
                <w:sz w:val="20"/>
                <w:lang w:eastAsia="zh-CN"/>
              </w:rPr>
            </w:pPr>
            <w:r>
              <w:rPr>
                <w:rFonts w:eastAsia="等线"/>
                <w:sz w:val="20"/>
                <w:lang w:eastAsia="zh-CN"/>
              </w:rPr>
              <w:t>FFS signaling to configure the pathloss RS, e.g., via SRS activation message.</w:t>
            </w:r>
          </w:p>
          <w:p>
            <w:pPr>
              <w:pStyle w:val="94"/>
              <w:numPr>
                <w:ilvl w:val="1"/>
                <w:numId w:val="5"/>
              </w:numPr>
              <w:snapToGrid w:val="0"/>
              <w:spacing w:afterLines="50" w:line="240" w:lineRule="auto"/>
              <w:jc w:val="both"/>
              <w:rPr>
                <w:sz w:val="20"/>
                <w:lang w:eastAsia="zh-CN"/>
              </w:rPr>
            </w:pPr>
            <w:r>
              <w:rPr>
                <w:sz w:val="20"/>
                <w:lang w:eastAsia="zh-CN"/>
              </w:rPr>
              <w:t xml:space="preserve">Note: UE Power consumption needs to be taken into account </w:t>
            </w:r>
          </w:p>
          <w:p>
            <w:pPr>
              <w:pStyle w:val="94"/>
              <w:numPr>
                <w:ilvl w:val="1"/>
                <w:numId w:val="5"/>
              </w:numPr>
              <w:snapToGrid w:val="0"/>
              <w:spacing w:afterLines="50" w:line="240" w:lineRule="auto"/>
              <w:jc w:val="both"/>
              <w:rPr>
                <w:sz w:val="20"/>
                <w:lang w:eastAsia="zh-CN"/>
              </w:rPr>
            </w:pPr>
            <w:r>
              <w:rPr>
                <w:rFonts w:eastAsia="等线"/>
                <w:sz w:val="20"/>
                <w:lang w:eastAsia="zh-CN"/>
              </w:rPr>
              <w:t>FFS: Whether p0 and alpha can be commonly configured across cells within the validity area.</w:t>
            </w:r>
          </w:p>
          <w:p>
            <w:pPr>
              <w:pStyle w:val="94"/>
              <w:numPr>
                <w:ilvl w:val="1"/>
                <w:numId w:val="5"/>
              </w:numPr>
              <w:snapToGrid w:val="0"/>
              <w:spacing w:afterLines="50" w:line="240" w:lineRule="auto"/>
              <w:jc w:val="both"/>
              <w:rPr>
                <w:sz w:val="20"/>
                <w:lang w:eastAsia="ko-KR"/>
              </w:rPr>
            </w:pPr>
            <w:r>
              <w:rPr>
                <w:rFonts w:eastAsia="等线"/>
                <w:sz w:val="20"/>
                <w:lang w:eastAsia="zh-CN"/>
              </w:rPr>
              <w:t>FFS</w:t>
            </w:r>
            <w:r>
              <w:rPr>
                <w:sz w:val="20"/>
                <w:lang w:eastAsia="zh-CN"/>
              </w:rPr>
              <w:t xml:space="preserve"> validity criteria of pathloss RS </w:t>
            </w:r>
            <w:r>
              <w:rPr>
                <w:rFonts w:eastAsia="等线"/>
                <w:sz w:val="20"/>
                <w:lang w:eastAsia="zh-CN"/>
              </w:rPr>
              <w:t xml:space="preserve">and UE behavior if it determines that </w:t>
            </w:r>
            <w:r>
              <w:rPr>
                <w:sz w:val="20"/>
                <w:lang w:eastAsia="zh-CN"/>
              </w:rPr>
              <w:t>the validity criteria of pathloss RS is not met</w:t>
            </w:r>
            <w:r>
              <w:rPr>
                <w:rFonts w:eastAsia="等线"/>
                <w:sz w:val="20"/>
                <w:lang w:eastAsia="zh-CN"/>
              </w:rPr>
              <w:t xml:space="preserve">, if any, </w:t>
            </w:r>
            <w:r>
              <w:rPr>
                <w:sz w:val="20"/>
                <w:lang w:eastAsia="zh-CN"/>
              </w:rPr>
              <w:t>to avoid frequent RRC connection for SRS (re)configuration.</w:t>
            </w:r>
          </w:p>
        </w:tc>
      </w:tr>
    </w:tbl>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this contribution, we provide our views on the potential enhancement for LPHAP.</w:t>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SRS configuration enhancement</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Rel-17, the following agreements were achieved: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utoSpaceDE w:val="0"/>
              <w:autoSpaceDN w:val="0"/>
              <w:adjustRightInd w:val="0"/>
              <w:snapToGrid w:val="0"/>
              <w:spacing w:after="180" w:afterLines="50" w:line="240" w:lineRule="auto"/>
              <w:jc w:val="both"/>
              <w:rPr>
                <w:rFonts w:ascii="Times New Roman" w:hAnsi="Times New Roman"/>
                <w:b/>
                <w:sz w:val="20"/>
                <w:szCs w:val="20"/>
                <w:u w:val="single"/>
              </w:rPr>
            </w:pPr>
            <w:r>
              <w:rPr>
                <w:rFonts w:ascii="Times New Roman" w:hAnsi="Times New Roman"/>
                <w:b/>
                <w:sz w:val="20"/>
                <w:szCs w:val="20"/>
                <w:u w:val="single"/>
              </w:rPr>
              <w:t>Agreement of RAN2#116-bis:</w:t>
            </w:r>
          </w:p>
          <w:p>
            <w:pPr>
              <w:numPr>
                <w:ilvl w:val="0"/>
                <w:numId w:val="6"/>
              </w:numPr>
              <w:autoSpaceDE w:val="0"/>
              <w:autoSpaceDN w:val="0"/>
              <w:adjustRightInd w:val="0"/>
              <w:snapToGrid w:val="0"/>
              <w:spacing w:after="180" w:afterLines="50" w:line="240" w:lineRule="auto"/>
              <w:jc w:val="both"/>
              <w:rPr>
                <w:rFonts w:ascii="Times New Roman" w:hAnsi="Times New Roman"/>
                <w:sz w:val="20"/>
                <w:szCs w:val="20"/>
              </w:rPr>
            </w:pPr>
            <w:r>
              <w:rPr>
                <w:rFonts w:ascii="Times New Roman" w:hAnsi="Times New Roman"/>
                <w:sz w:val="20"/>
                <w:szCs w:val="20"/>
              </w:rPr>
              <w:t>The SRSp configuration is considered as invalid if TA is not valid.</w:t>
            </w:r>
          </w:p>
          <w:p>
            <w:pPr>
              <w:numPr>
                <w:ilvl w:val="0"/>
                <w:numId w:val="6"/>
              </w:numPr>
              <w:autoSpaceDE w:val="0"/>
              <w:autoSpaceDN w:val="0"/>
              <w:adjustRightInd w:val="0"/>
              <w:snapToGrid w:val="0"/>
              <w:spacing w:after="180" w:afterLines="50" w:line="240" w:lineRule="auto"/>
              <w:jc w:val="both"/>
              <w:rPr>
                <w:rFonts w:ascii="Times New Roman" w:hAnsi="Times New Roman"/>
                <w:sz w:val="20"/>
                <w:szCs w:val="20"/>
              </w:rPr>
            </w:pPr>
            <w:r>
              <w:rPr>
                <w:rFonts w:ascii="Times New Roman" w:hAnsi="Times New Roman"/>
                <w:sz w:val="20"/>
                <w:szCs w:val="20"/>
              </w:rPr>
              <w:t>When cell reselection is performed and UE initiates RRC resume procedure to the cell which is different from the cell in which the SRSp is configured, the TA timer configuration for SRS should be released.</w:t>
            </w:r>
          </w:p>
          <w:p>
            <w:pPr>
              <w:numPr>
                <w:ilvl w:val="0"/>
                <w:numId w:val="6"/>
              </w:numPr>
              <w:autoSpaceDE w:val="0"/>
              <w:autoSpaceDN w:val="0"/>
              <w:adjustRightInd w:val="0"/>
              <w:snapToGrid w:val="0"/>
              <w:spacing w:after="180" w:afterLines="50" w:line="240" w:lineRule="auto"/>
              <w:jc w:val="both"/>
              <w:rPr>
                <w:rFonts w:ascii="Times New Roman" w:hAnsi="Times New Roman"/>
                <w:sz w:val="20"/>
                <w:szCs w:val="20"/>
              </w:rPr>
            </w:pPr>
            <w:r>
              <w:rPr>
                <w:rFonts w:ascii="Times New Roman" w:hAnsi="Times New Roman"/>
                <w:sz w:val="20"/>
                <w:szCs w:val="20"/>
              </w:rPr>
              <w:t>The SRSp configuration is released when the UE sends RRCResumeRequest to a cell other than the cell where it is released to RRC_INACTIVE state.</w:t>
            </w:r>
          </w:p>
          <w:p>
            <w:pPr>
              <w:autoSpaceDE w:val="0"/>
              <w:autoSpaceDN w:val="0"/>
              <w:adjustRightInd w:val="0"/>
              <w:snapToGrid w:val="0"/>
              <w:spacing w:after="180" w:afterLines="50" w:line="240" w:lineRule="auto"/>
              <w:jc w:val="both"/>
              <w:rPr>
                <w:rFonts w:ascii="Times New Roman" w:hAnsi="Times New Roman"/>
                <w:b/>
                <w:sz w:val="20"/>
                <w:szCs w:val="20"/>
                <w:u w:val="single"/>
              </w:rPr>
            </w:pPr>
            <w:r>
              <w:rPr>
                <w:rFonts w:ascii="Times New Roman" w:hAnsi="Times New Roman"/>
                <w:b/>
                <w:sz w:val="20"/>
                <w:szCs w:val="20"/>
                <w:u w:val="single"/>
              </w:rPr>
              <w:t>Agreement of RAN2#117:</w:t>
            </w:r>
          </w:p>
          <w:p>
            <w:pPr>
              <w:numPr>
                <w:ilvl w:val="0"/>
                <w:numId w:val="6"/>
              </w:numPr>
              <w:autoSpaceDE w:val="0"/>
              <w:autoSpaceDN w:val="0"/>
              <w:adjustRightInd w:val="0"/>
              <w:snapToGrid w:val="0"/>
              <w:spacing w:after="180" w:afterLines="50" w:line="240" w:lineRule="auto"/>
              <w:jc w:val="both"/>
              <w:rPr>
                <w:rFonts w:ascii="Times New Roman" w:hAnsi="Times New Roman"/>
                <w:sz w:val="20"/>
                <w:szCs w:val="20"/>
              </w:rPr>
            </w:pPr>
            <w:r>
              <w:rPr>
                <w:rFonts w:ascii="Times New Roman" w:hAnsi="Times New Roman"/>
                <w:sz w:val="20"/>
                <w:szCs w:val="20"/>
              </w:rPr>
              <w:t xml:space="preserve">TA timer configuration of SRS for positioning (SRSp) is invalidated upon any cell reselection (i.e. even if the UE does not initiate the RRC resume procedure) </w:t>
            </w:r>
          </w:p>
        </w:tc>
      </w:tr>
    </w:tbl>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These agreements indicate that, the SRS configuration for RRC_INACTIVE is only restricted in the serving cell that the UE connects lastly. If UE moves to another cell and cell re-selection is performed while UE still needs positioning (which is very likely to happen in a large factory area as use case 6 indicates), UE has to reach to RRC_CONNECTED to receive new SRS configuration embedded in RRC reconfiguration. As a common knowledge, the most significant UE power consumption comes from power state transfer (e.g., from sleep state to active state), so the frequent state transition will lead to a huge power consumption. </w:t>
      </w:r>
      <w:r>
        <w:rPr>
          <w:rFonts w:hint="eastAsia" w:ascii="Times New Roman" w:hAnsi="Times New Roman"/>
          <w:sz w:val="20"/>
          <w:szCs w:val="20"/>
        </w:rPr>
        <w:t xml:space="preserve">Keeping this in mind, the WID agreed that it is necessary to </w:t>
      </w:r>
      <w:r>
        <w:rPr>
          <w:rFonts w:ascii="Times New Roman" w:hAnsi="Times New Roman"/>
          <w:sz w:val="20"/>
          <w:szCs w:val="20"/>
          <w:lang w:eastAsia="ko-KR"/>
        </w:rPr>
        <w:t>specify SRS configuration enhancements based on SRS positioning validity area for UEs in RRC_INACTIVE state,</w:t>
      </w:r>
      <w:r>
        <w:rPr>
          <w:rFonts w:hint="eastAsia" w:ascii="Times New Roman" w:hAnsi="Times New Roman"/>
          <w:sz w:val="20"/>
          <w:szCs w:val="20"/>
        </w:rPr>
        <w:t xml:space="preserve"> </w:t>
      </w:r>
      <w:r>
        <w:rPr>
          <w:rFonts w:ascii="Times New Roman" w:hAnsi="Times New Roman"/>
          <w:sz w:val="20"/>
          <w:szCs w:val="20"/>
          <w:lang w:eastAsia="ko-KR"/>
        </w:rPr>
        <w:t>to avoid frequent RRC connection for SRS (re)configuration</w:t>
      </w:r>
      <w:r>
        <w:rPr>
          <w:rFonts w:hint="eastAsia" w:ascii="Times New Roman" w:hAnsi="Times New Roman"/>
          <w:sz w:val="20"/>
          <w:szCs w:val="20"/>
        </w:rPr>
        <w:t>.</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this contribution, we provide our views on </w:t>
      </w:r>
      <w:r>
        <w:rPr>
          <w:rFonts w:hint="eastAsia" w:ascii="Times New Roman" w:hAnsi="Times New Roman"/>
          <w:sz w:val="20"/>
          <w:szCs w:val="20"/>
        </w:rPr>
        <w:t>LPHAP</w:t>
      </w:r>
      <w:r>
        <w:rPr>
          <w:rFonts w:ascii="Times New Roman" w:hAnsi="Times New Roman"/>
          <w:sz w:val="20"/>
          <w:szCs w:val="20"/>
        </w:rPr>
        <w:t xml:space="preserve"> from RAN1 perspective.</w:t>
      </w:r>
    </w:p>
    <w:p>
      <w:pPr>
        <w:pStyle w:val="3"/>
        <w:snapToGrid w:val="0"/>
        <w:spacing w:after="120" w:line="240" w:lineRule="auto"/>
        <w:ind w:left="573" w:hanging="573"/>
        <w:jc w:val="both"/>
        <w:rPr>
          <w:sz w:val="24"/>
          <w:szCs w:val="24"/>
          <w:lang w:val="en-US"/>
        </w:rPr>
      </w:pPr>
      <w:r>
        <w:rPr>
          <w:sz w:val="24"/>
          <w:szCs w:val="24"/>
          <w:lang w:val="en-US"/>
        </w:rPr>
        <w:t xml:space="preserve">SRS configuration in </w:t>
      </w:r>
      <w:r>
        <w:rPr>
          <w:rFonts w:hint="eastAsia"/>
          <w:sz w:val="24"/>
          <w:szCs w:val="24"/>
          <w:lang w:val="en-US"/>
        </w:rPr>
        <w:t>validity area</w:t>
      </w:r>
    </w:p>
    <w:p>
      <w:pPr>
        <w:autoSpaceDE w:val="0"/>
        <w:autoSpaceDN w:val="0"/>
        <w:adjustRightInd w:val="0"/>
        <w:snapToGrid w:val="0"/>
        <w:spacing w:after="180" w:afterLines="50" w:line="240" w:lineRule="auto"/>
        <w:jc w:val="both"/>
        <w:rPr>
          <w:rFonts w:ascii="Times New Roman" w:hAnsi="Times New Roman"/>
          <w:sz w:val="20"/>
          <w:szCs w:val="20"/>
        </w:rPr>
      </w:pPr>
      <w:r>
        <w:rPr>
          <w:rFonts w:ascii="Times New Roman" w:hAnsi="Times New Roman"/>
          <w:sz w:val="20"/>
          <w:szCs w:val="20"/>
        </w:rPr>
        <w:t xml:space="preserve">In general, UE will get new SRS configuration when it moves to a new cell or the previous SRS configuration is invalid. In current UL positioning procedure, UE has to establish RRC connection when receiving SRS configuration or SRS configuration update, which is power consuming for LPHAP devices. Therefore, SRS for positioning configurations in a validity area were proposed in WID. However, some of the SRS configuration parameters </w:t>
      </w:r>
      <w:r>
        <w:rPr>
          <w:rFonts w:hint="eastAsia" w:ascii="Times New Roman" w:hAnsi="Times New Roman"/>
          <w:sz w:val="20"/>
          <w:szCs w:val="20"/>
        </w:rPr>
        <w:t>may</w:t>
      </w:r>
      <w:r>
        <w:rPr>
          <w:rFonts w:ascii="Times New Roman" w:hAnsi="Times New Roman"/>
          <w:sz w:val="20"/>
          <w:szCs w:val="20"/>
        </w:rPr>
        <w:t xml:space="preserve"> not be used across multiple cells, mainly include the following configurations:</w:t>
      </w:r>
    </w:p>
    <w:p>
      <w:pPr>
        <w:pStyle w:val="4"/>
        <w:spacing w:after="140"/>
        <w:ind w:firstLine="241"/>
      </w:pPr>
      <w:r>
        <w:t>Timing advance</w:t>
      </w:r>
    </w:p>
    <w:p>
      <w:pPr>
        <w:adjustRightInd w:val="0"/>
        <w:snapToGrid w:val="0"/>
        <w:spacing w:after="0" w:line="240" w:lineRule="auto"/>
        <w:jc w:val="both"/>
        <w:rPr>
          <w:rFonts w:ascii="Times New Roman" w:hAnsi="Times New Roman"/>
          <w:sz w:val="20"/>
          <w:szCs w:val="20"/>
        </w:rPr>
      </w:pPr>
      <w:r>
        <w:rPr>
          <w:rFonts w:ascii="Times New Roman" w:hAnsi="Times New Roman"/>
          <w:sz w:val="20"/>
          <w:szCs w:val="20"/>
        </w:rPr>
        <w:t xml:space="preserve">In Rel-17, </w:t>
      </w:r>
      <w:r>
        <w:rPr>
          <w:rFonts w:hint="eastAsia" w:ascii="Times New Roman" w:hAnsi="Times New Roman"/>
          <w:sz w:val="20"/>
          <w:szCs w:val="20"/>
        </w:rPr>
        <w:t>Timing advance (</w:t>
      </w:r>
      <w:r>
        <w:rPr>
          <w:rFonts w:ascii="Times New Roman" w:hAnsi="Times New Roman"/>
          <w:sz w:val="20"/>
          <w:szCs w:val="20"/>
        </w:rPr>
        <w:t>TA</w:t>
      </w:r>
      <w:r>
        <w:rPr>
          <w:rFonts w:hint="eastAsia" w:ascii="Times New Roman" w:hAnsi="Times New Roman"/>
          <w:sz w:val="20"/>
          <w:szCs w:val="20"/>
        </w:rPr>
        <w:t>)</w:t>
      </w:r>
      <w:r>
        <w:rPr>
          <w:rFonts w:ascii="Times New Roman" w:hAnsi="Times New Roman"/>
          <w:sz w:val="20"/>
          <w:szCs w:val="20"/>
        </w:rPr>
        <w:t xml:space="preserve"> for UL SRS could be determined by the following configurations: </w:t>
      </w:r>
    </w:p>
    <w:p>
      <w:pPr>
        <w:numPr>
          <w:ilvl w:val="0"/>
          <w:numId w:val="7"/>
        </w:numPr>
        <w:adjustRightInd w:val="0"/>
        <w:snapToGrid w:val="0"/>
        <w:spacing w:after="0" w:line="240" w:lineRule="auto"/>
        <w:jc w:val="both"/>
        <w:rPr>
          <w:rFonts w:ascii="Times New Roman" w:hAnsi="Times New Roman"/>
          <w:sz w:val="20"/>
          <w:szCs w:val="20"/>
        </w:rPr>
      </w:pPr>
      <w:r>
        <w:rPr>
          <w:rFonts w:ascii="Times New Roman" w:hAnsi="Times New Roman"/>
          <w:sz w:val="20"/>
          <w:szCs w:val="20"/>
        </w:rPr>
        <w:t xml:space="preserve">Msg2 Timing advance command: This TA command is included in Msg2, i.e., RACH Response, which configures the initial value for TA. </w:t>
      </w:r>
    </w:p>
    <w:p>
      <w:pPr>
        <w:numPr>
          <w:ilvl w:val="0"/>
          <w:numId w:val="7"/>
        </w:numPr>
        <w:adjustRightInd w:val="0"/>
        <w:snapToGrid w:val="0"/>
        <w:spacing w:after="0" w:line="240" w:lineRule="auto"/>
        <w:jc w:val="both"/>
        <w:rPr>
          <w:rFonts w:ascii="Times New Roman" w:hAnsi="Times New Roman"/>
          <w:sz w:val="20"/>
          <w:szCs w:val="20"/>
        </w:rPr>
      </w:pPr>
      <w:r>
        <w:rPr>
          <w:rFonts w:ascii="Times New Roman" w:hAnsi="Times New Roman"/>
          <w:sz w:val="20"/>
          <w:szCs w:val="20"/>
        </w:rPr>
        <w:t xml:space="preserve">MAC CE Timing advance command: This TA command is included in DL-SCH, which specifies the TA modification value. </w:t>
      </w:r>
    </w:p>
    <w:p>
      <w:pPr>
        <w:numPr>
          <w:ilvl w:val="0"/>
          <w:numId w:val="7"/>
        </w:numPr>
        <w:adjustRightInd w:val="0"/>
        <w:snapToGrid w:val="0"/>
        <w:spacing w:after="0" w:line="240" w:lineRule="auto"/>
        <w:jc w:val="both"/>
        <w:rPr>
          <w:rFonts w:ascii="Times New Roman" w:hAnsi="Times New Roman"/>
          <w:sz w:val="20"/>
          <w:szCs w:val="20"/>
        </w:rPr>
      </w:pPr>
      <w:r>
        <w:rPr>
          <w:rFonts w:ascii="Times New Roman" w:hAnsi="Times New Roman"/>
          <w:sz w:val="20"/>
          <w:szCs w:val="20"/>
        </w:rPr>
        <w:t xml:space="preserve">SIB Timing advance offset: Configure </w:t>
      </w:r>
      <w:r>
        <w:rPr>
          <w:rFonts w:ascii="Times New Roman" w:hAnsi="Times New Roman"/>
          <w:i/>
          <w:sz w:val="20"/>
          <w:szCs w:val="20"/>
        </w:rPr>
        <w:t>N_TA-Offset</w:t>
      </w:r>
      <w:r>
        <w:rPr>
          <w:rFonts w:ascii="Times New Roman" w:hAnsi="Times New Roman"/>
          <w:sz w:val="20"/>
          <w:szCs w:val="20"/>
        </w:rPr>
        <w:t xml:space="preserve"> to be applied for uplink transmissions on the serving cell.</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The above three configurations determine the time when UE transmits UL SRS. The explicit TA may be invalid when the </w:t>
      </w:r>
      <w:r>
        <w:rPr>
          <w:rFonts w:ascii="Times New Roman" w:hAnsi="Times New Roman"/>
          <w:i/>
          <w:sz w:val="20"/>
          <w:szCs w:val="20"/>
        </w:rPr>
        <w:t>TimingAlignmentTimer</w:t>
      </w:r>
      <w:r>
        <w:rPr>
          <w:rFonts w:ascii="Times New Roman" w:hAnsi="Times New Roman"/>
          <w:sz w:val="20"/>
          <w:szCs w:val="20"/>
        </w:rPr>
        <w:t xml:space="preserve"> expires or the downlink pathloss reference RSRP value exceeds the configured threshold</w:t>
      </w:r>
      <w:r>
        <w:rPr>
          <w:rFonts w:hint="eastAsia" w:ascii="Times New Roman" w:hAnsi="Times New Roman"/>
          <w:sz w:val="20"/>
          <w:szCs w:val="20"/>
        </w:rPr>
        <w:t xml:space="preserve"> </w:t>
      </w:r>
      <w:r>
        <w:rPr>
          <w:rFonts w:ascii="Times New Roman" w:hAnsi="Times New Roman"/>
          <w:i/>
          <w:sz w:val="20"/>
          <w:szCs w:val="20"/>
        </w:rPr>
        <w:t>inactivePosSRS-RSRP-ChangeThreshold</w:t>
      </w:r>
      <w:r>
        <w:rPr>
          <w:rFonts w:ascii="Times New Roman" w:hAnsi="Times New Roman"/>
          <w:sz w:val="20"/>
          <w:szCs w:val="20"/>
        </w:rPr>
        <w:t xml:space="preserve"> in current Rel-17 specification.</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As shown in</w:t>
      </w:r>
      <w:r>
        <w:rPr>
          <w:rFonts w:hint="eastAsia" w:ascii="Times New Roman" w:hAnsi="Times New Roman"/>
          <w:sz w:val="20"/>
          <w:szCs w:val="20"/>
        </w:rPr>
        <w:t xml:space="preserve"> </w:t>
      </w:r>
      <w:r>
        <w:rPr>
          <w:rFonts w:hint="eastAsia" w:ascii="Times New Roman" w:hAnsi="Times New Roman"/>
          <w:sz w:val="20"/>
          <w:szCs w:val="20"/>
        </w:rPr>
        <w:fldChar w:fldCharType="begin"/>
      </w:r>
      <w:r>
        <w:rPr>
          <w:rFonts w:hint="eastAsia" w:ascii="Times New Roman" w:hAnsi="Times New Roman"/>
          <w:sz w:val="20"/>
          <w:szCs w:val="20"/>
        </w:rPr>
        <w:instrText xml:space="preserve"> REF _Ref15976 \h </w:instrText>
      </w:r>
      <w:r>
        <w:rPr>
          <w:rFonts w:hint="eastAsia" w:ascii="Times New Roman" w:hAnsi="Times New Roman"/>
          <w:sz w:val="20"/>
          <w:szCs w:val="20"/>
        </w:rPr>
        <w:fldChar w:fldCharType="separate"/>
      </w:r>
      <w:r>
        <w:rPr>
          <w:rFonts w:hint="eastAsia" w:ascii="Times New Roman" w:hAnsi="Times New Roman"/>
          <w:sz w:val="20"/>
          <w:szCs w:val="20"/>
        </w:rPr>
        <w:t>Figure 1</w:t>
      </w:r>
      <w:r>
        <w:rPr>
          <w:rFonts w:hint="eastAsia" w:ascii="Times New Roman" w:hAnsi="Times New Roman"/>
          <w:sz w:val="20"/>
          <w:szCs w:val="20"/>
        </w:rPr>
        <w:fldChar w:fldCharType="end"/>
      </w:r>
      <w:r>
        <w:rPr>
          <w:rFonts w:hint="eastAsia" w:ascii="Times New Roman" w:hAnsi="Times New Roman"/>
          <w:sz w:val="20"/>
          <w:szCs w:val="20"/>
        </w:rPr>
        <w:t>, when UE camps on a new</w:t>
      </w:r>
      <w:r>
        <w:rPr>
          <w:rFonts w:ascii="Times New Roman" w:hAnsi="Times New Roman"/>
          <w:sz w:val="20"/>
          <w:szCs w:val="20"/>
        </w:rPr>
        <w:t xml:space="preserve"> cell, the TA might be different due to the UE movement, gNB synchronization, the distance between UE and two gNBs, etc.</w:t>
      </w:r>
    </w:p>
    <w:p>
      <w:pPr>
        <w:adjustRightInd w:val="0"/>
        <w:snapToGrid w:val="0"/>
        <w:spacing w:after="180" w:afterLines="50"/>
        <w:jc w:val="center"/>
        <w:rPr>
          <w:rFonts w:ascii="Times New Roman" w:hAnsi="Times New Roman"/>
        </w:rPr>
      </w:pPr>
      <w:r>
        <w:rPr>
          <w:rFonts w:ascii="Times New Roman" w:hAnsi="Times New Roman"/>
        </w:rPr>
        <w:drawing>
          <wp:inline distT="0" distB="0" distL="114300" distR="114300">
            <wp:extent cx="2798445" cy="1205230"/>
            <wp:effectExtent l="0" t="0" r="1905"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798445" cy="1205230"/>
                    </a:xfrm>
                    <a:prstGeom prst="rect">
                      <a:avLst/>
                    </a:prstGeom>
                    <a:noFill/>
                    <a:ln>
                      <a:noFill/>
                    </a:ln>
                  </pic:spPr>
                </pic:pic>
              </a:graphicData>
            </a:graphic>
          </wp:inline>
        </w:drawing>
      </w:r>
    </w:p>
    <w:p>
      <w:pPr>
        <w:pStyle w:val="15"/>
        <w:adjustRightInd w:val="0"/>
        <w:snapToGrid w:val="0"/>
        <w:spacing w:after="180" w:afterLines="50" w:line="276" w:lineRule="auto"/>
        <w:jc w:val="center"/>
        <w:rPr>
          <w:b w:val="0"/>
          <w:bCs w:val="0"/>
          <w:lang w:val="en-US" w:eastAsia="zh-CN"/>
        </w:rPr>
      </w:pPr>
      <w:bookmarkStart w:id="6" w:name="_Ref15976"/>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w:t>
      </w:r>
      <w:r>
        <w:rPr>
          <w:b w:val="0"/>
          <w:bCs w:val="0"/>
        </w:rPr>
        <w:fldChar w:fldCharType="end"/>
      </w:r>
      <w:bookmarkEnd w:id="6"/>
      <w:r>
        <w:rPr>
          <w:b w:val="0"/>
          <w:bCs w:val="0"/>
          <w:lang w:val="en-US" w:eastAsia="zh-CN"/>
        </w:rPr>
        <w:t xml:space="preserve"> Example for TA difference in SRS transmission</w:t>
      </w:r>
    </w:p>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Regarding the timing advance problem, </w:t>
      </w:r>
      <w:r>
        <w:rPr>
          <w:rFonts w:ascii="Times New Roman" w:hAnsi="Times New Roman" w:eastAsia="宋体"/>
          <w:sz w:val="20"/>
          <w:szCs w:val="20"/>
        </w:rPr>
        <w:t xml:space="preserve">the following </w:t>
      </w:r>
      <w:r>
        <w:rPr>
          <w:rFonts w:hint="eastAsia" w:ascii="Times New Roman" w:hAnsi="Times New Roman" w:eastAsia="宋体"/>
          <w:sz w:val="20"/>
          <w:szCs w:val="20"/>
        </w:rPr>
        <w:t>agreement was achieved</w:t>
      </w:r>
      <w:r>
        <w:rPr>
          <w:rFonts w:ascii="Times New Roman" w:hAnsi="Times New Roman" w:eastAsia="宋体"/>
          <w:sz w:val="20"/>
          <w:szCs w:val="20"/>
        </w:rPr>
        <w:t xml:space="preserve"> in last RAN1 meeting</w:t>
      </w:r>
      <w:r>
        <w:rPr>
          <w:rFonts w:hint="eastAsia" w:ascii="Times New Roman" w:hAnsi="Times New Roman" w:eastAsia="宋体"/>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pStyle w:val="94"/>
              <w:snapToGrid w:val="0"/>
              <w:spacing w:afterLines="50" w:line="240" w:lineRule="auto"/>
              <w:ind w:left="0"/>
              <w:jc w:val="both"/>
              <w:rPr>
                <w:iCs/>
                <w:sz w:val="20"/>
              </w:rPr>
            </w:pPr>
            <w:r>
              <w:rPr>
                <w:rFonts w:eastAsia="等线"/>
                <w:sz w:val="20"/>
                <w:lang w:eastAsia="zh-CN"/>
              </w:rPr>
              <w:t>For the determination of UL timing to transmit SRS for positioning by UEs in RRC_INACTIVE state within the SRS positioning validity area</w:t>
            </w:r>
            <w:r>
              <w:rPr>
                <w:sz w:val="20"/>
                <w:lang w:eastAsia="zh-CN"/>
              </w:rPr>
              <w:t>:</w:t>
            </w:r>
          </w:p>
          <w:p>
            <w:pPr>
              <w:pStyle w:val="94"/>
              <w:numPr>
                <w:ilvl w:val="1"/>
                <w:numId w:val="5"/>
              </w:numPr>
              <w:snapToGrid w:val="0"/>
              <w:spacing w:afterLines="50" w:line="240" w:lineRule="auto"/>
              <w:jc w:val="both"/>
              <w:rPr>
                <w:sz w:val="20"/>
                <w:lang w:eastAsia="zh-CN"/>
              </w:rPr>
            </w:pPr>
            <w:r>
              <w:rPr>
                <w:sz w:val="20"/>
                <w:lang w:eastAsia="zh-CN"/>
              </w:rPr>
              <w:t>For the UL timing advance, further study the following options, including the DL reference timing for each option:</w:t>
            </w:r>
          </w:p>
          <w:p>
            <w:pPr>
              <w:numPr>
                <w:ilvl w:val="1"/>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Option 1: UE maintains the TA obtained from the last serving cell within the validity area</w:t>
            </w:r>
          </w:p>
          <w:p>
            <w:pPr>
              <w:numPr>
                <w:ilvl w:val="1"/>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 xml:space="preserve">Option 2: UE autonomously adjusts the TA </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FFS: how the UE adjusts the TA, e.g. up to UE implementation, or based on the TA from the last serving cell and the DL time difference measurement of SSBs from the last serving cell and the new camping cell.</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FFS: whether there is RAN1 specification impact</w:t>
            </w:r>
          </w:p>
          <w:p>
            <w:pPr>
              <w:numPr>
                <w:ilvl w:val="1"/>
                <w:numId w:val="4"/>
              </w:numPr>
              <w:adjustRightInd w:val="0"/>
              <w:snapToGrid w:val="0"/>
              <w:spacing w:after="180" w:afterLines="50" w:line="240" w:lineRule="auto"/>
              <w:contextualSpacing/>
              <w:jc w:val="both"/>
              <w:rPr>
                <w:rFonts w:ascii="Times New Roman" w:hAnsi="Times New Roman"/>
                <w:sz w:val="20"/>
                <w:szCs w:val="20"/>
                <w:lang w:eastAsia="ko-KR"/>
              </w:rPr>
            </w:pPr>
            <w:r>
              <w:rPr>
                <w:rFonts w:ascii="Times New Roman" w:hAnsi="Times New Roman" w:eastAsia="等线"/>
                <w:sz w:val="20"/>
                <w:szCs w:val="20"/>
              </w:rPr>
              <w:t>Option 3: UE maintains multiple TA values, e.g. UE obtains TA using RACH</w:t>
            </w:r>
          </w:p>
        </w:tc>
      </w:tr>
    </w:tbl>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the following, we will analyse the feasibility of the agreed options.</w:t>
      </w:r>
    </w:p>
    <w:p>
      <w:pPr>
        <w:pStyle w:val="94"/>
        <w:numPr>
          <w:ilvl w:val="0"/>
          <w:numId w:val="8"/>
        </w:numPr>
        <w:snapToGrid w:val="0"/>
        <w:spacing w:before="180" w:beforeLines="50" w:afterLines="50" w:line="240" w:lineRule="auto"/>
        <w:jc w:val="both"/>
        <w:rPr>
          <w:b/>
          <w:bCs/>
          <w:sz w:val="20"/>
        </w:rPr>
      </w:pPr>
      <w:r>
        <w:rPr>
          <w:b/>
          <w:bCs/>
          <w:sz w:val="20"/>
        </w:rPr>
        <w:t>Option 1: UE maintains the TA obtained from the last serving cell within the validity area</w:t>
      </w:r>
    </w:p>
    <w:p>
      <w:pPr>
        <w:adjustRightInd w:val="0"/>
        <w:snapToGrid w:val="0"/>
        <w:spacing w:before="180" w:beforeLines="50" w:after="180" w:afterLines="50" w:line="240" w:lineRule="auto"/>
        <w:jc w:val="both"/>
        <w:rPr>
          <w:rFonts w:hint="default" w:ascii="Times New Roman" w:hAnsi="Times New Roman" w:eastAsiaTheme="minorEastAsia"/>
          <w:sz w:val="20"/>
          <w:szCs w:val="20"/>
          <w:lang w:val="en-US" w:eastAsia="zh-CN"/>
        </w:rPr>
      </w:pPr>
      <w:r>
        <w:rPr>
          <w:rFonts w:ascii="Times New Roman" w:hAnsi="Times New Roman"/>
          <w:sz w:val="20"/>
          <w:szCs w:val="20"/>
        </w:rPr>
        <w:t xml:space="preserve">As shown in </w:t>
      </w:r>
      <w:r>
        <w:rPr>
          <w:rFonts w:ascii="Times New Roman" w:hAnsi="Times New Roman"/>
          <w:sz w:val="20"/>
          <w:szCs w:val="20"/>
        </w:rPr>
        <w:fldChar w:fldCharType="begin"/>
      </w:r>
      <w:r>
        <w:rPr>
          <w:rFonts w:ascii="Times New Roman" w:hAnsi="Times New Roman"/>
          <w:sz w:val="20"/>
          <w:szCs w:val="20"/>
        </w:rPr>
        <w:instrText xml:space="preserve"> REF _Ref15976 \h </w:instrText>
      </w:r>
      <w:r>
        <w:rPr>
          <w:rFonts w:ascii="Times New Roman" w:hAnsi="Times New Roman"/>
          <w:sz w:val="20"/>
          <w:szCs w:val="20"/>
        </w:rPr>
        <w:fldChar w:fldCharType="separate"/>
      </w:r>
      <w:r>
        <w:rPr>
          <w:rFonts w:ascii="Times New Roman" w:hAnsi="Times New Roman"/>
          <w:sz w:val="20"/>
          <w:szCs w:val="20"/>
        </w:rPr>
        <w:t>Figure 1</w:t>
      </w:r>
      <w:r>
        <w:rPr>
          <w:rFonts w:ascii="Times New Roman" w:hAnsi="Times New Roman"/>
          <w:sz w:val="20"/>
          <w:szCs w:val="20"/>
        </w:rPr>
        <w:fldChar w:fldCharType="end"/>
      </w:r>
      <w:r>
        <w:rPr>
          <w:rFonts w:ascii="Times New Roman" w:hAnsi="Times New Roman"/>
          <w:sz w:val="20"/>
          <w:szCs w:val="20"/>
        </w:rPr>
        <w:t>, when UE camps on a new cell, the distance difference between d</w:t>
      </w:r>
      <w:r>
        <w:rPr>
          <w:rFonts w:ascii="Times New Roman" w:hAnsi="Times New Roman"/>
          <w:sz w:val="20"/>
          <w:szCs w:val="20"/>
          <w:vertAlign w:val="subscript"/>
        </w:rPr>
        <w:t>1</w:t>
      </w:r>
      <w:r>
        <w:rPr>
          <w:rFonts w:ascii="Times New Roman" w:hAnsi="Times New Roman"/>
          <w:sz w:val="20"/>
          <w:szCs w:val="20"/>
        </w:rPr>
        <w:t xml:space="preserve"> (distance between UE and gNB 1) and d</w:t>
      </w:r>
      <w:r>
        <w:rPr>
          <w:rFonts w:ascii="Times New Roman" w:hAnsi="Times New Roman"/>
          <w:sz w:val="20"/>
          <w:szCs w:val="20"/>
          <w:vertAlign w:val="subscript"/>
        </w:rPr>
        <w:t>2</w:t>
      </w:r>
      <w:r>
        <w:rPr>
          <w:rFonts w:ascii="Times New Roman" w:hAnsi="Times New Roman"/>
          <w:sz w:val="20"/>
          <w:szCs w:val="20"/>
        </w:rPr>
        <w:t xml:space="preserve"> (distance between UE and gNB 2) is usually small when the coverage of gNB 1 and gNB 2 are similar. And the maximum supported cell ISD is about 700m when configuring SCS as 30kHz, the difference between the ideal TA (refers to the TA configured by gNB </w:t>
      </w:r>
      <w:r>
        <w:rPr>
          <w:rFonts w:hint="eastAsia" w:ascii="Times New Roman" w:hAnsi="Times New Roman"/>
          <w:sz w:val="20"/>
          <w:szCs w:val="20"/>
        </w:rPr>
        <w:t xml:space="preserve">if </w:t>
      </w:r>
      <w:r>
        <w:rPr>
          <w:rFonts w:ascii="Times New Roman" w:hAnsi="Times New Roman"/>
          <w:sz w:val="20"/>
          <w:szCs w:val="20"/>
        </w:rPr>
        <w:t>UE enters RRC_CONNECT state) and the actual TA (refers to reuse the TA of UE in gNB 1) is small. So it’s feasible to reuse the old TA between two neighbor cells when the</w:t>
      </w:r>
      <w:r>
        <w:rPr>
          <w:rFonts w:hint="eastAsia" w:ascii="Times New Roman" w:hAnsi="Times New Roman"/>
          <w:sz w:val="20"/>
          <w:szCs w:val="20"/>
        </w:rPr>
        <w:t>se two cells are well-</w:t>
      </w:r>
      <w:r>
        <w:rPr>
          <w:rFonts w:ascii="Times New Roman" w:hAnsi="Times New Roman"/>
          <w:sz w:val="20"/>
          <w:szCs w:val="20"/>
        </w:rPr>
        <w:t>synchroniz</w:t>
      </w:r>
      <w:r>
        <w:rPr>
          <w:rFonts w:hint="eastAsia" w:ascii="Times New Roman" w:hAnsi="Times New Roman"/>
          <w:sz w:val="20"/>
          <w:szCs w:val="20"/>
        </w:rPr>
        <w:t xml:space="preserve">ed </w:t>
      </w:r>
      <w:r>
        <w:rPr>
          <w:rFonts w:ascii="Times New Roman" w:hAnsi="Times New Roman"/>
          <w:sz w:val="20"/>
          <w:szCs w:val="20"/>
        </w:rPr>
        <w:t xml:space="preserve">as well as the coverage ranges of gNB 1 and gNB </w:t>
      </w:r>
      <w:r>
        <w:rPr>
          <w:rFonts w:hint="eastAsia" w:ascii="Times New Roman" w:hAnsi="Times New Roman"/>
          <w:sz w:val="20"/>
          <w:szCs w:val="20"/>
        </w:rPr>
        <w:t xml:space="preserve">2 </w:t>
      </w:r>
      <w:r>
        <w:rPr>
          <w:rFonts w:ascii="Times New Roman" w:hAnsi="Times New Roman"/>
          <w:sz w:val="20"/>
          <w:szCs w:val="20"/>
        </w:rPr>
        <w:t xml:space="preserve">are the same. </w:t>
      </w:r>
      <w:r>
        <w:rPr>
          <w:rFonts w:hint="eastAsia" w:ascii="Times New Roman" w:hAnsi="Times New Roman"/>
          <w:sz w:val="20"/>
          <w:szCs w:val="20"/>
          <w:lang w:val="en-US" w:eastAsia="zh-CN"/>
        </w:rPr>
        <w:t>And</w:t>
      </w:r>
      <w:r>
        <w:rPr>
          <w:rFonts w:ascii="Times New Roman" w:hAnsi="Times New Roman"/>
          <w:sz w:val="20"/>
          <w:szCs w:val="20"/>
        </w:rPr>
        <w:t xml:space="preserve"> in </w:t>
      </w:r>
      <w:r>
        <w:rPr>
          <w:rFonts w:hint="eastAsia" w:ascii="Times New Roman" w:hAnsi="Times New Roman"/>
          <w:sz w:val="20"/>
          <w:szCs w:val="20"/>
          <w:lang w:val="en-US" w:eastAsia="zh-CN"/>
        </w:rPr>
        <w:t>general</w:t>
      </w:r>
      <w:r>
        <w:rPr>
          <w:rFonts w:ascii="Times New Roman" w:hAnsi="Times New Roman"/>
          <w:sz w:val="20"/>
          <w:szCs w:val="20"/>
        </w:rPr>
        <w:t xml:space="preserve">, the SRS configuration validity area usually contains </w:t>
      </w:r>
      <w:r>
        <w:rPr>
          <w:rFonts w:hint="eastAsia" w:ascii="Times New Roman" w:hAnsi="Times New Roman"/>
          <w:sz w:val="20"/>
          <w:szCs w:val="20"/>
          <w:lang w:val="en-US" w:eastAsia="zh-CN"/>
        </w:rPr>
        <w:t xml:space="preserve">several </w:t>
      </w:r>
      <w:r>
        <w:rPr>
          <w:rFonts w:ascii="Times New Roman" w:hAnsi="Times New Roman"/>
          <w:sz w:val="20"/>
          <w:szCs w:val="20"/>
        </w:rPr>
        <w:t xml:space="preserve">cells, the TA </w:t>
      </w:r>
      <w:r>
        <w:rPr>
          <w:rFonts w:hint="eastAsia" w:ascii="Times New Roman" w:hAnsi="Times New Roman"/>
          <w:sz w:val="20"/>
          <w:szCs w:val="20"/>
          <w:lang w:val="en-US" w:eastAsia="zh-CN"/>
        </w:rPr>
        <w:t>can be reused across multiple cells within the validity area</w:t>
      </w:r>
      <w:r>
        <w:rPr>
          <w:rFonts w:ascii="Times New Roman" w:hAnsi="Times New Roman"/>
          <w:sz w:val="20"/>
          <w:szCs w:val="20"/>
        </w:rPr>
        <w:t xml:space="preserve">. </w:t>
      </w:r>
      <w:r>
        <w:rPr>
          <w:rFonts w:hint="eastAsia" w:ascii="Times New Roman" w:hAnsi="Times New Roman"/>
          <w:sz w:val="20"/>
          <w:szCs w:val="20"/>
          <w:lang w:val="en-US" w:eastAsia="zh-CN"/>
        </w:rPr>
        <w:t>Furthermore, this option doesn</w:t>
      </w:r>
      <w:r>
        <w:rPr>
          <w:rFonts w:hint="default" w:ascii="Times New Roman" w:hAnsi="Times New Roman"/>
          <w:sz w:val="20"/>
          <w:szCs w:val="20"/>
          <w:lang w:val="en-US" w:eastAsia="zh-CN"/>
        </w:rPr>
        <w:t>’</w:t>
      </w:r>
      <w:r>
        <w:rPr>
          <w:rFonts w:hint="eastAsia" w:ascii="Times New Roman" w:hAnsi="Times New Roman"/>
          <w:sz w:val="20"/>
          <w:szCs w:val="20"/>
          <w:lang w:val="en-US" w:eastAsia="zh-CN"/>
        </w:rPr>
        <w:t>t require any signalling exchange or UE calculation or measurement behaviors during the positioning process, which is power saving for LPHAP UE.</w:t>
      </w:r>
    </w:p>
    <w:p>
      <w:pPr>
        <w:numPr>
          <w:ilvl w:val="0"/>
          <w:numId w:val="0"/>
        </w:numPr>
        <w:adjustRightInd w:val="0"/>
        <w:snapToGrid w:val="0"/>
        <w:spacing w:after="0" w:line="240" w:lineRule="auto"/>
        <w:ind w:leftChars="0"/>
        <w:jc w:val="both"/>
        <w:rPr>
          <w:rFonts w:hint="default" w:ascii="Times New Roman" w:hAnsi="Times New Roman" w:cs="Times New Roman"/>
          <w:b/>
          <w:bCs/>
          <w:i/>
          <w:iCs/>
          <w:sz w:val="20"/>
          <w:szCs w:val="20"/>
        </w:rPr>
      </w:pPr>
      <w:bookmarkStart w:id="7" w:name="_Ref16770"/>
      <w:r>
        <w:rPr>
          <w:rFonts w:hint="default" w:ascii="Times New Roman" w:hAnsi="Times New Roman" w:cs="Times New Roman"/>
          <w:b/>
          <w:bCs/>
          <w:i/>
          <w:iCs/>
          <w:sz w:val="20"/>
          <w:szCs w:val="20"/>
        </w:rPr>
        <w:t xml:space="preserve">Observation </w:t>
      </w:r>
      <w:r>
        <w:rPr>
          <w:rFonts w:hint="default" w:ascii="Times New Roman" w:hAnsi="Times New Roman" w:cs="Times New Roman"/>
          <w:b/>
          <w:bCs/>
          <w:i/>
          <w:iCs/>
          <w:sz w:val="20"/>
          <w:szCs w:val="20"/>
        </w:rPr>
        <w:fldChar w:fldCharType="begin"/>
      </w:r>
      <w:r>
        <w:rPr>
          <w:rFonts w:hint="default" w:ascii="Times New Roman" w:hAnsi="Times New Roman" w:cs="Times New Roman"/>
          <w:b/>
          <w:bCs/>
          <w:i/>
          <w:iCs/>
          <w:sz w:val="20"/>
          <w:szCs w:val="20"/>
        </w:rPr>
        <w:instrText xml:space="preserve"> SEQ Observation \* ARABIC </w:instrText>
      </w:r>
      <w:r>
        <w:rPr>
          <w:rFonts w:hint="default" w:ascii="Times New Roman" w:hAnsi="Times New Roman" w:cs="Times New Roman"/>
          <w:b/>
          <w:bCs/>
          <w:i/>
          <w:iCs/>
          <w:sz w:val="20"/>
          <w:szCs w:val="20"/>
        </w:rPr>
        <w:fldChar w:fldCharType="separate"/>
      </w:r>
      <w:r>
        <w:rPr>
          <w:rFonts w:hint="default" w:ascii="Times New Roman" w:hAnsi="Times New Roman" w:cs="Times New Roman"/>
          <w:b/>
          <w:bCs/>
          <w:i/>
          <w:iCs/>
          <w:sz w:val="20"/>
          <w:szCs w:val="20"/>
        </w:rPr>
        <w:t>1</w:t>
      </w:r>
      <w:r>
        <w:rPr>
          <w:rFonts w:hint="default" w:ascii="Times New Roman" w:hAnsi="Times New Roman" w:cs="Times New Roman"/>
          <w:b/>
          <w:bCs/>
          <w:i/>
          <w:iCs/>
          <w:sz w:val="20"/>
          <w:szCs w:val="20"/>
        </w:rPr>
        <w:fldChar w:fldCharType="end"/>
      </w:r>
      <w:r>
        <w:rPr>
          <w:rFonts w:hint="default" w:ascii="Times New Roman" w:hAnsi="Times New Roman" w:cs="Times New Roman"/>
          <w:b/>
          <w:bCs/>
          <w:i/>
          <w:iCs/>
          <w:sz w:val="20"/>
          <w:szCs w:val="20"/>
          <w:lang w:val="en-US" w:eastAsia="zh-CN"/>
        </w:rPr>
        <w:t>: UE can reuse the TA obtain</w:t>
      </w:r>
      <w:r>
        <w:rPr>
          <w:rFonts w:hint="eastAsia" w:ascii="Times New Roman" w:hAnsi="Times New Roman" w:cs="Times New Roman"/>
          <w:b/>
          <w:bCs/>
          <w:i/>
          <w:iCs/>
          <w:sz w:val="20"/>
          <w:szCs w:val="20"/>
          <w:lang w:val="en-US" w:eastAsia="zh-CN"/>
        </w:rPr>
        <w:t>ed</w:t>
      </w:r>
      <w:r>
        <w:rPr>
          <w:rFonts w:hint="default" w:ascii="Times New Roman" w:hAnsi="Times New Roman" w:cs="Times New Roman"/>
          <w:b/>
          <w:bCs/>
          <w:i/>
          <w:iCs/>
          <w:sz w:val="20"/>
          <w:szCs w:val="20"/>
          <w:lang w:val="en-US" w:eastAsia="zh-CN"/>
        </w:rPr>
        <w:t xml:space="preserve"> from the last serving gNB across multiple cells within the SRS configuration validity area</w:t>
      </w:r>
      <w:r>
        <w:rPr>
          <w:rFonts w:hint="default" w:ascii="Times New Roman" w:hAnsi="Times New Roman" w:cs="Times New Roman"/>
          <w:b/>
          <w:bCs/>
          <w:i/>
          <w:iCs/>
          <w:sz w:val="20"/>
          <w:szCs w:val="20"/>
        </w:rPr>
        <w:t>.</w:t>
      </w:r>
    </w:p>
    <w:bookmarkEnd w:id="7"/>
    <w:p>
      <w:pPr>
        <w:pStyle w:val="94"/>
        <w:numPr>
          <w:ilvl w:val="0"/>
          <w:numId w:val="8"/>
        </w:numPr>
        <w:snapToGrid w:val="0"/>
        <w:spacing w:before="180" w:beforeLines="50" w:afterLines="50" w:line="240" w:lineRule="auto"/>
        <w:jc w:val="both"/>
        <w:rPr>
          <w:b/>
          <w:bCs/>
          <w:sz w:val="20"/>
        </w:rPr>
      </w:pPr>
      <w:r>
        <w:rPr>
          <w:b/>
          <w:bCs/>
          <w:sz w:val="20"/>
        </w:rPr>
        <w:t xml:space="preserve">Option </w:t>
      </w:r>
      <w:r>
        <w:rPr>
          <w:rFonts w:hint="eastAsia"/>
          <w:b/>
          <w:bCs/>
          <w:sz w:val="20"/>
          <w:lang w:eastAsia="zh-CN"/>
        </w:rPr>
        <w:t>2</w:t>
      </w:r>
      <w:r>
        <w:rPr>
          <w:b/>
          <w:bCs/>
          <w:sz w:val="20"/>
        </w:rPr>
        <w:t>: UE autonomously adjusts the TA</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this option, UE has to estimate the distance between UE and the gNB in new </w:t>
      </w:r>
      <w:r>
        <w:rPr>
          <w:rFonts w:hint="eastAsia" w:ascii="Times New Roman" w:hAnsi="Times New Roman"/>
          <w:sz w:val="20"/>
          <w:szCs w:val="20"/>
        </w:rPr>
        <w:t xml:space="preserve">camp </w:t>
      </w:r>
      <w:r>
        <w:rPr>
          <w:rFonts w:ascii="Times New Roman" w:hAnsi="Times New Roman"/>
          <w:sz w:val="20"/>
          <w:szCs w:val="20"/>
        </w:rPr>
        <w:t>cell.</w:t>
      </w:r>
      <w:r>
        <w:rPr>
          <w:rFonts w:hint="eastAsia" w:ascii="Times New Roman" w:hAnsi="Times New Roman"/>
          <w:sz w:val="20"/>
          <w:szCs w:val="20"/>
        </w:rPr>
        <w:t xml:space="preserve"> The proposals agreed in last meeting mentioned that UE can adjust TA based on the TA from the last serving cell and the DL RSTD measurement result. However, i</w:t>
      </w:r>
      <w:r>
        <w:rPr>
          <w:rFonts w:ascii="Times New Roman" w:hAnsi="Times New Roman"/>
          <w:sz w:val="20"/>
          <w:szCs w:val="20"/>
        </w:rPr>
        <w:t>n LPHAP, UE</w:t>
      </w:r>
      <w:r>
        <w:rPr>
          <w:rFonts w:hint="eastAsia" w:ascii="Times New Roman" w:hAnsi="Times New Roman"/>
          <w:sz w:val="20"/>
          <w:szCs w:val="20"/>
        </w:rPr>
        <w:t>s</w:t>
      </w:r>
      <w:r>
        <w:rPr>
          <w:rFonts w:ascii="Times New Roman" w:hAnsi="Times New Roman"/>
          <w:sz w:val="20"/>
          <w:szCs w:val="20"/>
        </w:rPr>
        <w:t xml:space="preserve"> </w:t>
      </w:r>
      <w:r>
        <w:rPr>
          <w:rFonts w:hint="eastAsia" w:ascii="Times New Roman" w:hAnsi="Times New Roman"/>
          <w:sz w:val="20"/>
          <w:szCs w:val="20"/>
        </w:rPr>
        <w:t xml:space="preserve">may maintain sleep state for a long time to lower the power consumption. Therefore, UE </w:t>
      </w:r>
      <w:r>
        <w:rPr>
          <w:rFonts w:ascii="Times New Roman" w:hAnsi="Times New Roman"/>
          <w:sz w:val="20"/>
          <w:szCs w:val="20"/>
        </w:rPr>
        <w:t xml:space="preserve">may not receive all RS when </w:t>
      </w:r>
      <w:r>
        <w:rPr>
          <w:rFonts w:hint="eastAsia" w:ascii="Times New Roman" w:hAnsi="Times New Roman"/>
          <w:sz w:val="20"/>
          <w:szCs w:val="20"/>
        </w:rPr>
        <w:t xml:space="preserve">it </w:t>
      </w:r>
      <w:r>
        <w:rPr>
          <w:rFonts w:ascii="Times New Roman" w:hAnsi="Times New Roman"/>
          <w:sz w:val="20"/>
          <w:szCs w:val="20"/>
        </w:rPr>
        <w:t>move</w:t>
      </w:r>
      <w:r>
        <w:rPr>
          <w:rFonts w:hint="eastAsia" w:ascii="Times New Roman" w:hAnsi="Times New Roman"/>
          <w:sz w:val="20"/>
          <w:szCs w:val="20"/>
        </w:rPr>
        <w:t>s</w:t>
      </w:r>
      <w:r>
        <w:rPr>
          <w:rFonts w:ascii="Times New Roman" w:hAnsi="Times New Roman"/>
          <w:sz w:val="20"/>
          <w:szCs w:val="20"/>
        </w:rPr>
        <w:t xml:space="preserve"> to a new cell</w:t>
      </w:r>
      <w:r>
        <w:rPr>
          <w:rFonts w:hint="eastAsia" w:ascii="Times New Roman" w:hAnsi="Times New Roman"/>
          <w:sz w:val="20"/>
          <w:szCs w:val="20"/>
        </w:rPr>
        <w:t>, especially for UEs in RRC_INACTIVE state</w:t>
      </w:r>
      <w:r>
        <w:rPr>
          <w:rFonts w:ascii="Times New Roman" w:hAnsi="Times New Roman"/>
          <w:sz w:val="20"/>
          <w:szCs w:val="20"/>
        </w:rPr>
        <w:t>, so it might</w:t>
      </w:r>
      <w:r>
        <w:rPr>
          <w:rFonts w:hint="eastAsia" w:ascii="Times New Roman" w:hAnsi="Times New Roman"/>
          <w:sz w:val="20"/>
          <w:szCs w:val="20"/>
        </w:rPr>
        <w:t xml:space="preserve"> require some time</w:t>
      </w:r>
      <w:r>
        <w:rPr>
          <w:rFonts w:ascii="Times New Roman" w:hAnsi="Times New Roman"/>
          <w:sz w:val="20"/>
          <w:szCs w:val="20"/>
        </w:rPr>
        <w:t xml:space="preserve"> for UE to </w:t>
      </w:r>
      <w:r>
        <w:rPr>
          <w:rFonts w:hint="eastAsia" w:ascii="Times New Roman" w:hAnsi="Times New Roman"/>
          <w:sz w:val="20"/>
          <w:szCs w:val="20"/>
        </w:rPr>
        <w:t xml:space="preserve">receive the RS and </w:t>
      </w:r>
      <w:r>
        <w:rPr>
          <w:rFonts w:ascii="Times New Roman" w:hAnsi="Times New Roman"/>
          <w:sz w:val="20"/>
          <w:szCs w:val="20"/>
        </w:rPr>
        <w:t>measure the DL RSTD between the serving cell before movement and the new camp cell</w:t>
      </w:r>
      <w:r>
        <w:rPr>
          <w:rFonts w:hint="eastAsia" w:ascii="Times New Roman" w:hAnsi="Times New Roman"/>
          <w:sz w:val="20"/>
          <w:szCs w:val="20"/>
        </w:rPr>
        <w:t>. But this is up to UE implementation, there</w:t>
      </w:r>
      <w:r>
        <w:rPr>
          <w:rFonts w:ascii="Times New Roman" w:hAnsi="Times New Roman"/>
          <w:sz w:val="20"/>
          <w:szCs w:val="20"/>
        </w:rPr>
        <w:t>’</w:t>
      </w:r>
      <w:r>
        <w:rPr>
          <w:rFonts w:hint="eastAsia" w:ascii="Times New Roman" w:hAnsi="Times New Roman"/>
          <w:sz w:val="20"/>
          <w:szCs w:val="20"/>
        </w:rPr>
        <w:t>s no specification impact from RAN1 perspective.</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Another feasible TA update method is to let UE know the coordination of all the gNBs in the validity area, and estimate new TA based on the TA from the last serving cell and gNBs</w:t>
      </w:r>
      <w:r>
        <w:rPr>
          <w:rFonts w:ascii="Times New Roman" w:hAnsi="Times New Roman"/>
          <w:sz w:val="20"/>
          <w:szCs w:val="20"/>
        </w:rPr>
        <w:t>’</w:t>
      </w:r>
      <w:r>
        <w:rPr>
          <w:rFonts w:hint="eastAsia" w:ascii="Times New Roman" w:hAnsi="Times New Roman"/>
          <w:sz w:val="20"/>
          <w:szCs w:val="20"/>
        </w:rPr>
        <w:t xml:space="preserve"> location information together with its movement. The detailed calculation process is as follows:</w:t>
      </w:r>
    </w:p>
    <w:p>
      <w:pPr>
        <w:adjustRightInd w:val="0"/>
        <w:snapToGrid w:val="0"/>
        <w:spacing w:after="180" w:afterLines="50" w:line="240" w:lineRule="auto"/>
        <w:jc w:val="both"/>
        <w:rPr>
          <w:rFonts w:ascii="Times New Roman" w:hAnsi="Times New Roman"/>
          <w:sz w:val="20"/>
          <w:szCs w:val="20"/>
        </w:rPr>
      </w:pPr>
      <w:r>
        <w:rPr>
          <w:rFonts w:ascii="Times New Roman" w:hAnsi="Times New Roman"/>
          <w:sz w:val="20"/>
          <w:szCs w:val="20"/>
        </w:rPr>
        <w:t xml:space="preserve">As shown in </w:t>
      </w:r>
      <w:r>
        <w:rPr>
          <w:rFonts w:ascii="Times New Roman" w:hAnsi="Times New Roman"/>
          <w:sz w:val="20"/>
          <w:szCs w:val="20"/>
        </w:rPr>
        <w:fldChar w:fldCharType="begin"/>
      </w:r>
      <w:r>
        <w:rPr>
          <w:rFonts w:ascii="Times New Roman" w:hAnsi="Times New Roman"/>
          <w:sz w:val="20"/>
          <w:szCs w:val="20"/>
        </w:rPr>
        <w:instrText xml:space="preserve"> REF _Ref12880 \h </w:instrText>
      </w:r>
      <w:r>
        <w:rPr>
          <w:rFonts w:ascii="Times New Roman" w:hAnsi="Times New Roman"/>
          <w:sz w:val="20"/>
          <w:szCs w:val="20"/>
        </w:rPr>
        <w:fldChar w:fldCharType="separate"/>
      </w:r>
      <w:r>
        <w:rPr>
          <w:rFonts w:ascii="Times New Roman" w:hAnsi="Times New Roman"/>
          <w:sz w:val="20"/>
          <w:szCs w:val="20"/>
        </w:rPr>
        <w:t>Figure 2</w:t>
      </w:r>
      <w:r>
        <w:rPr>
          <w:rFonts w:ascii="Times New Roman" w:hAnsi="Times New Roman"/>
          <w:sz w:val="20"/>
          <w:szCs w:val="20"/>
        </w:rPr>
        <w:fldChar w:fldCharType="end"/>
      </w:r>
      <w:r>
        <w:rPr>
          <w:rFonts w:ascii="Times New Roman" w:hAnsi="Times New Roman"/>
          <w:sz w:val="20"/>
          <w:szCs w:val="20"/>
        </w:rPr>
        <w:t>, suppose that cell 3 is the last serving cell of UE, and UE moves from cell 3 to cell 4, we have the following</w:t>
      </w:r>
      <w:r>
        <w:rPr>
          <w:rFonts w:hint="eastAsia" w:ascii="Times New Roman" w:hAnsi="Times New Roman"/>
          <w:sz w:val="20"/>
          <w:szCs w:val="20"/>
        </w:rPr>
        <w:t xml:space="preserve"> deduction.</w:t>
      </w:r>
    </w:p>
    <w:p>
      <w:pPr>
        <w:adjustRightInd w:val="0"/>
        <w:snapToGrid w:val="0"/>
        <w:spacing w:after="180" w:afterLines="50" w:line="240" w:lineRule="auto"/>
        <w:jc w:val="both"/>
        <w:rPr>
          <w:rFonts w:ascii="Times New Roman" w:hAnsi="Times New Roman"/>
          <w:sz w:val="20"/>
          <w:szCs w:val="20"/>
        </w:rPr>
      </w:pPr>
      <w:r>
        <w:rPr>
          <w:rFonts w:ascii="Times New Roman" w:hAnsi="Times New Roman"/>
          <w:sz w:val="20"/>
          <w:szCs w:val="20"/>
        </w:rPr>
        <w:t>Suppose the coordination of gNBs</w:t>
      </w:r>
      <w:r>
        <w:rPr>
          <w:rFonts w:hint="eastAsia" w:ascii="Times New Roman" w:hAnsi="Times New Roman"/>
          <w:sz w:val="20"/>
          <w:szCs w:val="20"/>
        </w:rPr>
        <w:t xml:space="preserve"> </w:t>
      </w:r>
      <w:r>
        <w:rPr>
          <w:rFonts w:ascii="Times New Roman" w:hAnsi="Times New Roman"/>
          <w:sz w:val="20"/>
          <w:szCs w:val="20"/>
        </w:rPr>
        <w:t>3 and 4 are (</w:t>
      </w:r>
      <w:r>
        <w:rPr>
          <w:rFonts w:ascii="Times New Roman" w:hAnsi="Times New Roman"/>
          <w:i/>
          <w:iCs/>
          <w:sz w:val="20"/>
          <w:szCs w:val="20"/>
        </w:rPr>
        <w:t>x</w:t>
      </w:r>
      <w:r>
        <w:rPr>
          <w:rFonts w:ascii="Times New Roman" w:hAnsi="Times New Roman"/>
          <w:i/>
          <w:iCs/>
          <w:sz w:val="20"/>
          <w:szCs w:val="20"/>
          <w:vertAlign w:val="subscript"/>
        </w:rPr>
        <w:t>3</w:t>
      </w:r>
      <w:r>
        <w:rPr>
          <w:rFonts w:ascii="Times New Roman" w:hAnsi="Times New Roman"/>
          <w:i/>
          <w:iCs/>
          <w:sz w:val="20"/>
          <w:szCs w:val="20"/>
        </w:rPr>
        <w:t>,y</w:t>
      </w:r>
      <w:r>
        <w:rPr>
          <w:rFonts w:ascii="Times New Roman" w:hAnsi="Times New Roman"/>
          <w:i/>
          <w:iCs/>
          <w:sz w:val="20"/>
          <w:szCs w:val="20"/>
          <w:vertAlign w:val="subscript"/>
        </w:rPr>
        <w:t>3</w:t>
      </w:r>
      <w:r>
        <w:rPr>
          <w:rFonts w:ascii="Times New Roman" w:hAnsi="Times New Roman"/>
          <w:sz w:val="20"/>
          <w:szCs w:val="20"/>
        </w:rPr>
        <w:t>) and (</w:t>
      </w:r>
      <w:r>
        <w:rPr>
          <w:rFonts w:ascii="Times New Roman" w:hAnsi="Times New Roman"/>
          <w:i/>
          <w:iCs/>
          <w:sz w:val="20"/>
          <w:szCs w:val="20"/>
        </w:rPr>
        <w:t>x</w:t>
      </w:r>
      <w:r>
        <w:rPr>
          <w:rFonts w:ascii="Times New Roman" w:hAnsi="Times New Roman"/>
          <w:i/>
          <w:iCs/>
          <w:sz w:val="20"/>
          <w:szCs w:val="20"/>
          <w:vertAlign w:val="subscript"/>
        </w:rPr>
        <w:t>4</w:t>
      </w:r>
      <w:r>
        <w:rPr>
          <w:rFonts w:ascii="Times New Roman" w:hAnsi="Times New Roman"/>
          <w:i/>
          <w:iCs/>
          <w:sz w:val="20"/>
          <w:szCs w:val="20"/>
        </w:rPr>
        <w:t>,y</w:t>
      </w:r>
      <w:r>
        <w:rPr>
          <w:rFonts w:ascii="Times New Roman" w:hAnsi="Times New Roman"/>
          <w:i/>
          <w:iCs/>
          <w:sz w:val="20"/>
          <w:szCs w:val="20"/>
          <w:vertAlign w:val="subscript"/>
        </w:rPr>
        <w:t>4</w:t>
      </w:r>
      <w:r>
        <w:rPr>
          <w:rFonts w:ascii="Times New Roman" w:hAnsi="Times New Roman"/>
          <w:sz w:val="20"/>
          <w:szCs w:val="20"/>
        </w:rPr>
        <w:t xml:space="preserve">), the spatial relation </w:t>
      </w:r>
      <w:r>
        <w:rPr>
          <w:rFonts w:hint="eastAsia" w:ascii="Times New Roman" w:hAnsi="Times New Roman"/>
          <w:sz w:val="20"/>
          <w:szCs w:val="20"/>
        </w:rPr>
        <w:t>is configured by gNB</w:t>
      </w:r>
      <w:r>
        <w:rPr>
          <w:rFonts w:ascii="Times New Roman" w:hAnsi="Times New Roman"/>
          <w:sz w:val="20"/>
          <w:szCs w:val="20"/>
        </w:rPr>
        <w:t xml:space="preserve"> 3</w:t>
      </w:r>
      <w:r>
        <w:rPr>
          <w:rFonts w:hint="eastAsia" w:ascii="Times New Roman" w:hAnsi="Times New Roman"/>
          <w:sz w:val="20"/>
          <w:szCs w:val="20"/>
        </w:rPr>
        <w:t xml:space="preserve"> (last serving gNB)</w:t>
      </w:r>
      <w:r>
        <w:rPr>
          <w:rFonts w:ascii="Times New Roman" w:hAnsi="Times New Roman"/>
          <w:sz w:val="20"/>
          <w:szCs w:val="20"/>
        </w:rPr>
        <w:t>, denote the transmitting angle is α(UE can get its rough direction from</w:t>
      </w:r>
      <w:r>
        <w:rPr>
          <w:rFonts w:ascii="Times New Roman" w:hAnsi="Times New Roman"/>
          <w:i/>
          <w:iCs/>
          <w:sz w:val="20"/>
          <w:szCs w:val="20"/>
        </w:rPr>
        <w:t xml:space="preserve"> spatialRelationInfo</w:t>
      </w:r>
      <w:r>
        <w:rPr>
          <w:rFonts w:ascii="Times New Roman" w:hAnsi="Times New Roman"/>
          <w:sz w:val="20"/>
          <w:szCs w:val="20"/>
        </w:rPr>
        <w:t>), let D</w:t>
      </w:r>
      <w:r>
        <w:rPr>
          <w:rFonts w:ascii="Times New Roman" w:hAnsi="Times New Roman"/>
          <w:sz w:val="20"/>
          <w:szCs w:val="20"/>
          <w:vertAlign w:val="subscript"/>
        </w:rPr>
        <w:t>3</w:t>
      </w:r>
      <w:r>
        <w:rPr>
          <w:rFonts w:ascii="Times New Roman" w:hAnsi="Times New Roman"/>
          <w:sz w:val="20"/>
          <w:szCs w:val="20"/>
        </w:rPr>
        <w:t xml:space="preserve"> denote the estimated distance between UE and gNB 3 (</w:t>
      </w:r>
      <w:r>
        <w:rPr>
          <w:rFonts w:ascii="Times New Roman" w:hAnsi="Times New Roman"/>
          <w:i/>
          <w:iCs/>
          <w:sz w:val="20"/>
          <w:szCs w:val="20"/>
        </w:rPr>
        <w:t>D</w:t>
      </w:r>
      <w:r>
        <w:rPr>
          <w:rFonts w:ascii="Times New Roman" w:hAnsi="Times New Roman"/>
          <w:i/>
          <w:iCs/>
          <w:sz w:val="20"/>
          <w:szCs w:val="20"/>
          <w:vertAlign w:val="subscript"/>
        </w:rPr>
        <w:t>3</w:t>
      </w:r>
      <w:r>
        <w:rPr>
          <w:rFonts w:ascii="Times New Roman" w:hAnsi="Times New Roman"/>
          <w:sz w:val="20"/>
          <w:szCs w:val="20"/>
        </w:rPr>
        <w:t xml:space="preserve"> can be estimated based on the previous TA), with the above parameters, UE can calculate the estimated coordination (</w:t>
      </w:r>
      <w:r>
        <w:rPr>
          <w:rFonts w:ascii="Times New Roman" w:hAnsi="Times New Roman"/>
          <w:i/>
          <w:iCs/>
          <w:sz w:val="20"/>
          <w:szCs w:val="20"/>
        </w:rPr>
        <w:t>X,Y</w:t>
      </w:r>
      <w:r>
        <w:rPr>
          <w:rFonts w:ascii="Times New Roman" w:hAnsi="Times New Roman"/>
          <w:sz w:val="20"/>
          <w:szCs w:val="20"/>
        </w:rPr>
        <w:t>) based on the following equations:</w:t>
      </w:r>
    </w:p>
    <w:p>
      <w:pPr>
        <w:adjustRightInd w:val="0"/>
        <w:snapToGrid w:val="0"/>
        <w:spacing w:after="180" w:afterLines="50" w:line="240" w:lineRule="auto"/>
        <w:jc w:val="right"/>
        <w:rPr>
          <w:rFonts w:ascii="Times New Roman" w:hAnsi="Times New Roman"/>
          <w:sz w:val="20"/>
          <w:szCs w:val="20"/>
        </w:rPr>
      </w:pPr>
      <m:oMath>
        <m:sSup>
          <m:sSupPr>
            <m:ctrlPr>
              <w:rPr>
                <w:rFonts w:ascii="Cambria Math" w:hAnsi="Cambria Math"/>
                <w:i/>
                <w:sz w:val="20"/>
                <w:szCs w:val="20"/>
              </w:rPr>
            </m:ctrlPr>
          </m:sSupPr>
          <m:e>
            <m:d>
              <m:dPr>
                <m:ctrlPr>
                  <w:rPr>
                    <w:rFonts w:ascii="Cambria Math" w:hAnsi="Cambria Math"/>
                    <w:i/>
                    <w:sz w:val="20"/>
                    <w:szCs w:val="20"/>
                  </w:rPr>
                </m:ctrlPr>
              </m:dPr>
              <m:e>
                <m:sSub>
                  <m:sSubPr>
                    <m:ctrlPr>
                      <w:rPr>
                        <w:rFonts w:ascii="Cambria Math" w:hAnsi="Cambria Math"/>
                        <w:i/>
                        <w:sz w:val="20"/>
                        <w:szCs w:val="20"/>
                      </w:rPr>
                    </m:ctrlPr>
                  </m:sSubPr>
                  <m:e>
                    <m:r>
                      <m:rPr/>
                      <w:rPr>
                        <w:rFonts w:ascii="Cambria Math" w:hAnsi="Cambria Math"/>
                        <w:sz w:val="20"/>
                        <w:szCs w:val="20"/>
                      </w:rPr>
                      <m:t>X</m:t>
                    </m:r>
                    <m:ctrlPr>
                      <w:rPr>
                        <w:rFonts w:ascii="Cambria Math" w:hAnsi="Cambria Math"/>
                        <w:i/>
                        <w:sz w:val="20"/>
                        <w:szCs w:val="20"/>
                      </w:rPr>
                    </m:ctrlPr>
                  </m:e>
                  <m:sub>
                    <m:r>
                      <m:rPr/>
                      <w:rPr>
                        <w:rFonts w:ascii="Cambria Math" w:hAnsi="Cambria Math"/>
                        <w:sz w:val="20"/>
                        <w:szCs w:val="20"/>
                      </w:rPr>
                      <m:t>3</m:t>
                    </m:r>
                    <m:ctrlPr>
                      <w:rPr>
                        <w:rFonts w:ascii="Cambria Math" w:hAnsi="Cambria Math"/>
                        <w:i/>
                        <w:sz w:val="20"/>
                        <w:szCs w:val="20"/>
                      </w:rPr>
                    </m:ctrlPr>
                  </m:sub>
                </m:sSub>
                <m:r>
                  <m:rPr/>
                  <w:rPr>
                    <w:rFonts w:ascii="Cambria Math" w:hAnsi="Cambria Math"/>
                    <w:sz w:val="20"/>
                    <w:szCs w:val="20"/>
                  </w:rPr>
                  <m:t>−X</m:t>
                </m:r>
                <m:ctrlPr>
                  <w:rPr>
                    <w:rFonts w:ascii="Cambria Math" w:hAnsi="Cambria Math"/>
                    <w:i/>
                    <w:sz w:val="20"/>
                    <w:szCs w:val="20"/>
                  </w:rPr>
                </m:ctrlPr>
              </m:e>
            </m:d>
            <m:ctrlPr>
              <w:rPr>
                <w:rFonts w:ascii="Cambria Math" w:hAnsi="Cambria Math"/>
                <w:i/>
                <w:sz w:val="20"/>
                <w:szCs w:val="20"/>
              </w:rPr>
            </m:ctrlPr>
          </m:e>
          <m:sup>
            <m:r>
              <m:rPr/>
              <w:rPr>
                <w:rFonts w:ascii="Cambria Math" w:hAnsi="Cambria Math"/>
                <w:sz w:val="20"/>
                <w:szCs w:val="20"/>
              </w:rPr>
              <m:t>2</m:t>
            </m:r>
            <m:ctrlPr>
              <w:rPr>
                <w:rFonts w:ascii="Cambria Math" w:hAnsi="Cambria Math"/>
                <w:i/>
                <w:sz w:val="20"/>
                <w:szCs w:val="20"/>
              </w:rPr>
            </m:ctrlPr>
          </m:sup>
        </m:sSup>
        <m:r>
          <m:rP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sSub>
                  <m:sSubPr>
                    <m:ctrlPr>
                      <w:rPr>
                        <w:rFonts w:ascii="Cambria Math" w:hAnsi="Cambria Math"/>
                        <w:i/>
                        <w:sz w:val="20"/>
                        <w:szCs w:val="20"/>
                      </w:rPr>
                    </m:ctrlPr>
                  </m:sSubPr>
                  <m:e>
                    <m:r>
                      <m:rPr/>
                      <w:rPr>
                        <w:rFonts w:ascii="Cambria Math" w:hAnsi="Cambria Math"/>
                        <w:sz w:val="20"/>
                        <w:szCs w:val="20"/>
                      </w:rPr>
                      <m:t>Y</m:t>
                    </m:r>
                    <m:ctrlPr>
                      <w:rPr>
                        <w:rFonts w:ascii="Cambria Math" w:hAnsi="Cambria Math"/>
                        <w:i/>
                        <w:sz w:val="20"/>
                        <w:szCs w:val="20"/>
                      </w:rPr>
                    </m:ctrlPr>
                  </m:e>
                  <m:sub>
                    <m:r>
                      <m:rPr/>
                      <w:rPr>
                        <w:rFonts w:ascii="Cambria Math" w:hAnsi="Cambria Math"/>
                        <w:sz w:val="20"/>
                        <w:szCs w:val="20"/>
                      </w:rPr>
                      <m:t>3</m:t>
                    </m:r>
                    <m:ctrlPr>
                      <w:rPr>
                        <w:rFonts w:ascii="Cambria Math" w:hAnsi="Cambria Math"/>
                        <w:i/>
                        <w:sz w:val="20"/>
                        <w:szCs w:val="20"/>
                      </w:rPr>
                    </m:ctrlPr>
                  </m:sub>
                </m:sSub>
                <m:r>
                  <m:rPr/>
                  <w:rPr>
                    <w:rFonts w:ascii="Cambria Math" w:hAnsi="Cambria Math"/>
                    <w:sz w:val="20"/>
                    <w:szCs w:val="20"/>
                  </w:rPr>
                  <m:t>−Y</m:t>
                </m:r>
                <m:ctrlPr>
                  <w:rPr>
                    <w:rFonts w:ascii="Cambria Math" w:hAnsi="Cambria Math"/>
                    <w:i/>
                    <w:sz w:val="20"/>
                    <w:szCs w:val="20"/>
                  </w:rPr>
                </m:ctrlPr>
              </m:e>
            </m:d>
            <m:ctrlPr>
              <w:rPr>
                <w:rFonts w:ascii="Cambria Math" w:hAnsi="Cambria Math"/>
                <w:i/>
                <w:sz w:val="20"/>
                <w:szCs w:val="20"/>
              </w:rPr>
            </m:ctrlPr>
          </m:e>
          <m:sup>
            <m:r>
              <m:rPr/>
              <w:rPr>
                <w:rFonts w:ascii="Cambria Math" w:hAnsi="Cambria Math"/>
                <w:sz w:val="20"/>
                <w:szCs w:val="20"/>
              </w:rPr>
              <m:t>2</m:t>
            </m:r>
            <m:ctrlPr>
              <w:rPr>
                <w:rFonts w:ascii="Cambria Math" w:hAnsi="Cambria Math"/>
                <w:i/>
                <w:sz w:val="20"/>
                <w:szCs w:val="20"/>
              </w:rPr>
            </m:ctrlPr>
          </m:sup>
        </m:sSup>
        <m:r>
          <m:rPr/>
          <w:rPr>
            <w:rFonts w:ascii="Cambria Math" w:hAnsi="Cambria Math"/>
            <w:sz w:val="20"/>
            <w:szCs w:val="20"/>
          </w:rPr>
          <m:t>=</m:t>
        </m:r>
        <m:sSup>
          <m:sSupPr>
            <m:ctrlPr>
              <w:rPr>
                <w:rFonts w:ascii="Cambria Math" w:hAnsi="Cambria Math"/>
                <w:i/>
                <w:sz w:val="20"/>
                <w:szCs w:val="20"/>
              </w:rPr>
            </m:ctrlPr>
          </m:sSupPr>
          <m:e>
            <m:r>
              <m:rPr/>
              <w:rPr>
                <w:rFonts w:ascii="Cambria Math" w:hAnsi="Cambria Math"/>
                <w:sz w:val="20"/>
                <w:szCs w:val="20"/>
              </w:rPr>
              <m:t>D</m:t>
            </m:r>
            <m:ctrlPr>
              <w:rPr>
                <w:rFonts w:ascii="Cambria Math" w:hAnsi="Cambria Math"/>
                <w:i/>
                <w:sz w:val="20"/>
                <w:szCs w:val="20"/>
              </w:rPr>
            </m:ctrlPr>
          </m:e>
          <m:sup>
            <m:r>
              <m:rPr/>
              <w:rPr>
                <w:rFonts w:ascii="Cambria Math" w:hAnsi="Cambria Math"/>
                <w:sz w:val="20"/>
                <w:szCs w:val="20"/>
              </w:rPr>
              <m:t>2</m:t>
            </m:r>
            <m:ctrlPr>
              <w:rPr>
                <w:rFonts w:ascii="Cambria Math" w:hAnsi="Cambria Math"/>
                <w:i/>
                <w:sz w:val="20"/>
                <w:szCs w:val="20"/>
              </w:rPr>
            </m:ctrlPr>
          </m:sup>
        </m:sSup>
      </m:oMath>
      <w:r>
        <w:rPr>
          <w:rFonts w:hint="eastAsia" w:hAnsi="Cambria Math"/>
          <w:sz w:val="20"/>
          <w:szCs w:val="20"/>
        </w:rPr>
        <w:tab/>
      </w:r>
      <w:r>
        <w:rPr>
          <w:rFonts w:hint="eastAsia" w:hAnsi="Cambria Math"/>
          <w:sz w:val="20"/>
          <w:szCs w:val="20"/>
        </w:rPr>
        <w:tab/>
      </w:r>
      <w:r>
        <w:rPr>
          <w:rFonts w:hint="eastAsia" w:hAnsi="Cambria Math"/>
          <w:sz w:val="20"/>
          <w:szCs w:val="20"/>
        </w:rPr>
        <w:tab/>
      </w:r>
      <w:r>
        <w:rPr>
          <w:rFonts w:ascii="Times New Roman" w:hAnsi="Times New Roman"/>
          <w:sz w:val="20"/>
          <w:szCs w:val="20"/>
        </w:rPr>
        <w:tab/>
      </w:r>
      <w:r>
        <w:rPr>
          <w:rFonts w:ascii="Times New Roman" w:hAnsi="Times New Roman"/>
          <w:sz w:val="20"/>
          <w:szCs w:val="20"/>
        </w:rPr>
        <w:t xml:space="preserve"> (Eq.  1)</w:t>
      </w:r>
    </w:p>
    <w:p>
      <w:pPr>
        <w:adjustRightInd w:val="0"/>
        <w:snapToGrid w:val="0"/>
        <w:spacing w:after="180" w:afterLines="50" w:line="240" w:lineRule="auto"/>
        <w:jc w:val="right"/>
        <w:rPr>
          <w:rFonts w:ascii="Times New Roman" w:hAnsi="Times New Roman"/>
          <w:sz w:val="20"/>
          <w:szCs w:val="20"/>
        </w:rPr>
      </w:pPr>
      <m:oMath>
        <m:r>
          <m:rPr>
            <m:sty m:val="p"/>
          </m:rPr>
          <w:rPr>
            <w:rFonts w:ascii="Cambria Math" w:hAnsi="Cambria Math"/>
            <w:sz w:val="20"/>
            <w:szCs w:val="20"/>
          </w:rPr>
          <m:t>arctan</m:t>
        </m:r>
        <m:f>
          <m:fPr>
            <m:ctrlPr>
              <w:rPr>
                <w:rFonts w:ascii="Cambria Math" w:hAnsi="Cambria Math"/>
                <w:i/>
                <w:sz w:val="20"/>
                <w:szCs w:val="20"/>
              </w:rPr>
            </m:ctrlPr>
          </m:fPr>
          <m:num>
            <m:sSub>
              <m:sSubPr>
                <m:ctrlPr>
                  <w:rPr>
                    <w:rFonts w:ascii="Cambria Math" w:hAnsi="Cambria Math"/>
                    <w:i/>
                    <w:sz w:val="20"/>
                    <w:szCs w:val="20"/>
                  </w:rPr>
                </m:ctrlPr>
              </m:sSubPr>
              <m:e>
                <m:r>
                  <m:rPr/>
                  <w:rPr>
                    <w:rFonts w:ascii="Cambria Math" w:hAnsi="Cambria Math"/>
                    <w:sz w:val="20"/>
                    <w:szCs w:val="20"/>
                  </w:rPr>
                  <m:t>Y</m:t>
                </m:r>
                <m:ctrlPr>
                  <w:rPr>
                    <w:rFonts w:ascii="Cambria Math" w:hAnsi="Cambria Math"/>
                    <w:i/>
                    <w:sz w:val="20"/>
                    <w:szCs w:val="20"/>
                  </w:rPr>
                </m:ctrlPr>
              </m:e>
              <m:sub>
                <m:r>
                  <m:rPr/>
                  <w:rPr>
                    <w:rFonts w:ascii="Cambria Math" w:hAnsi="Cambria Math"/>
                    <w:sz w:val="20"/>
                    <w:szCs w:val="20"/>
                  </w:rPr>
                  <m:t>3</m:t>
                </m:r>
                <m:ctrlPr>
                  <w:rPr>
                    <w:rFonts w:ascii="Cambria Math" w:hAnsi="Cambria Math"/>
                    <w:i/>
                    <w:sz w:val="20"/>
                    <w:szCs w:val="20"/>
                  </w:rPr>
                </m:ctrlPr>
              </m:sub>
            </m:sSub>
            <m:r>
              <m:rPr/>
              <w:rPr>
                <w:rFonts w:ascii="Cambria Math" w:hAnsi="Cambria Math"/>
                <w:sz w:val="20"/>
                <w:szCs w:val="20"/>
              </w:rPr>
              <m:t>−Y</m:t>
            </m:r>
            <m:ctrlPr>
              <w:rPr>
                <w:rFonts w:ascii="Cambria Math" w:hAnsi="Cambria Math"/>
                <w:i/>
                <w:sz w:val="20"/>
                <w:szCs w:val="20"/>
              </w:rPr>
            </m:ctrlPr>
          </m:num>
          <m:den>
            <m:sSub>
              <m:sSubPr>
                <m:ctrlPr>
                  <w:rPr>
                    <w:rFonts w:ascii="Cambria Math" w:hAnsi="Cambria Math"/>
                    <w:i/>
                    <w:sz w:val="20"/>
                    <w:szCs w:val="20"/>
                  </w:rPr>
                </m:ctrlPr>
              </m:sSubPr>
              <m:e>
                <m:r>
                  <m:rPr/>
                  <w:rPr>
                    <w:rFonts w:ascii="Cambria Math" w:hAnsi="Cambria Math"/>
                    <w:sz w:val="20"/>
                    <w:szCs w:val="20"/>
                  </w:rPr>
                  <m:t>X</m:t>
                </m:r>
                <m:ctrlPr>
                  <w:rPr>
                    <w:rFonts w:ascii="Cambria Math" w:hAnsi="Cambria Math"/>
                    <w:i/>
                    <w:sz w:val="20"/>
                    <w:szCs w:val="20"/>
                  </w:rPr>
                </m:ctrlPr>
              </m:e>
              <m:sub>
                <m:r>
                  <m:rPr/>
                  <w:rPr>
                    <w:rFonts w:ascii="Cambria Math" w:hAnsi="Cambria Math"/>
                    <w:sz w:val="20"/>
                    <w:szCs w:val="20"/>
                  </w:rPr>
                  <m:t>3</m:t>
                </m:r>
                <m:ctrlPr>
                  <w:rPr>
                    <w:rFonts w:ascii="Cambria Math" w:hAnsi="Cambria Math"/>
                    <w:i/>
                    <w:sz w:val="20"/>
                    <w:szCs w:val="20"/>
                  </w:rPr>
                </m:ctrlPr>
              </m:sub>
            </m:sSub>
            <m:r>
              <m:rPr/>
              <w:rPr>
                <w:rFonts w:ascii="Cambria Math" w:hAnsi="Cambria Math"/>
                <w:sz w:val="20"/>
                <w:szCs w:val="20"/>
              </w:rPr>
              <m:t>−X</m:t>
            </m:r>
            <m:ctrlPr>
              <w:rPr>
                <w:rFonts w:ascii="Cambria Math" w:hAnsi="Cambria Math"/>
                <w:i/>
                <w:sz w:val="20"/>
                <w:szCs w:val="20"/>
              </w:rPr>
            </m:ctrlPr>
          </m:den>
        </m:f>
        <m:r>
          <m:rPr/>
          <w:rPr>
            <w:rFonts w:ascii="Cambria Math" w:hAnsi="Cambria Math"/>
            <w:sz w:val="20"/>
            <w:szCs w:val="20"/>
          </w:rPr>
          <m:t>=α</m:t>
        </m:r>
      </m:oMath>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(Eq.  2)</w:t>
      </w:r>
    </w:p>
    <w:p>
      <w:pPr>
        <w:adjustRightInd w:val="0"/>
        <w:snapToGrid w:val="0"/>
        <w:spacing w:after="180" w:afterLines="50" w:line="240" w:lineRule="auto"/>
        <w:jc w:val="both"/>
        <w:rPr>
          <w:rFonts w:ascii="Times New Roman" w:hAnsi="Times New Roman"/>
          <w:sz w:val="20"/>
          <w:szCs w:val="20"/>
        </w:rPr>
      </w:pPr>
    </w:p>
    <w:p>
      <w:pPr>
        <w:adjustRightInd w:val="0"/>
        <w:snapToGrid w:val="0"/>
        <w:spacing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1975485" cy="1930400"/>
            <wp:effectExtent l="0" t="0" r="5715" b="12700"/>
            <wp:docPr id="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1"/>
                    <pic:cNvPicPr>
                      <a:picLocks noChangeAspect="1"/>
                    </pic:cNvPicPr>
                  </pic:nvPicPr>
                  <pic:blipFill>
                    <a:blip r:embed="rId8"/>
                    <a:stretch>
                      <a:fillRect/>
                    </a:stretch>
                  </pic:blipFill>
                  <pic:spPr>
                    <a:xfrm>
                      <a:off x="0" y="0"/>
                      <a:ext cx="1975485" cy="1930400"/>
                    </a:xfrm>
                    <a:prstGeom prst="rect">
                      <a:avLst/>
                    </a:prstGeom>
                    <a:noFill/>
                    <a:ln>
                      <a:noFill/>
                    </a:ln>
                  </pic:spPr>
                </pic:pic>
              </a:graphicData>
            </a:graphic>
          </wp:inline>
        </w:drawing>
      </w:r>
    </w:p>
    <w:p>
      <w:pPr>
        <w:adjustRightInd w:val="0"/>
        <w:snapToGrid w:val="0"/>
        <w:spacing w:after="180" w:afterLines="50" w:line="240" w:lineRule="auto"/>
        <w:ind w:firstLine="420"/>
        <w:jc w:val="center"/>
        <w:rPr>
          <w:rFonts w:ascii="Times New Roman" w:hAnsi="Times New Roman"/>
          <w:sz w:val="20"/>
          <w:szCs w:val="20"/>
        </w:rPr>
      </w:pPr>
      <w:bookmarkStart w:id="8" w:name="_Ref12880"/>
      <w:r>
        <w:rPr>
          <w:rFonts w:ascii="Times New Roman" w:hAnsi="Times New Roman"/>
          <w:sz w:val="20"/>
          <w:szCs w:val="20"/>
        </w:rPr>
        <w:t xml:space="preserve">Figure </w:t>
      </w:r>
      <w:r>
        <w:rPr>
          <w:rFonts w:ascii="Times New Roman" w:hAnsi="Times New Roman"/>
          <w:sz w:val="20"/>
          <w:szCs w:val="20"/>
        </w:rPr>
        <w:fldChar w:fldCharType="begin"/>
      </w:r>
      <w:r>
        <w:rPr>
          <w:rFonts w:ascii="Times New Roman" w:hAnsi="Times New Roman"/>
          <w:sz w:val="20"/>
          <w:szCs w:val="20"/>
        </w:rPr>
        <w:instrText xml:space="preserve"> SEQ Figure \* ARABIC </w:instrText>
      </w:r>
      <w:r>
        <w:rPr>
          <w:rFonts w:ascii="Times New Roman" w:hAnsi="Times New Roman"/>
          <w:sz w:val="20"/>
          <w:szCs w:val="20"/>
        </w:rPr>
        <w:fldChar w:fldCharType="separate"/>
      </w:r>
      <w:r>
        <w:rPr>
          <w:rFonts w:ascii="Times New Roman" w:hAnsi="Times New Roman"/>
          <w:sz w:val="20"/>
          <w:szCs w:val="20"/>
        </w:rPr>
        <w:t>2</w:t>
      </w:r>
      <w:r>
        <w:rPr>
          <w:rFonts w:ascii="Times New Roman" w:hAnsi="Times New Roman"/>
          <w:sz w:val="20"/>
          <w:szCs w:val="20"/>
        </w:rPr>
        <w:fldChar w:fldCharType="end"/>
      </w:r>
      <w:bookmarkEnd w:id="8"/>
      <w:r>
        <w:rPr>
          <w:rFonts w:ascii="Times New Roman" w:hAnsi="Times New Roman"/>
          <w:sz w:val="20"/>
          <w:szCs w:val="20"/>
        </w:rPr>
        <w:t>:</w:t>
      </w:r>
      <w:r>
        <w:rPr>
          <w:rFonts w:hint="eastAsia" w:ascii="Times New Roman" w:hAnsi="Times New Roman"/>
          <w:sz w:val="20"/>
          <w:szCs w:val="20"/>
        </w:rPr>
        <w:t>Timing advance</w:t>
      </w:r>
      <w:r>
        <w:rPr>
          <w:rFonts w:ascii="Times New Roman" w:hAnsi="Times New Roman"/>
          <w:sz w:val="20"/>
          <w:szCs w:val="20"/>
        </w:rPr>
        <w:t xml:space="preserve"> calculation example</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Alternatively, UE can also get its coordination (</w:t>
      </w:r>
      <w:r>
        <w:rPr>
          <w:rFonts w:ascii="Times New Roman" w:hAnsi="Times New Roman"/>
          <w:i/>
          <w:iCs/>
          <w:sz w:val="20"/>
          <w:szCs w:val="20"/>
        </w:rPr>
        <w:t>X,Y</w:t>
      </w:r>
      <w:r>
        <w:rPr>
          <w:rFonts w:ascii="Times New Roman" w:hAnsi="Times New Roman"/>
          <w:sz w:val="20"/>
          <w:szCs w:val="20"/>
        </w:rPr>
        <w:t>) if it performed UE-based positioning in previous time slots. After this, if UE knows its movement details, the estimated coordination (</w:t>
      </w:r>
      <w:r>
        <w:rPr>
          <w:rFonts w:ascii="Times New Roman" w:hAnsi="Times New Roman"/>
          <w:i/>
          <w:iCs/>
          <w:sz w:val="20"/>
          <w:szCs w:val="20"/>
        </w:rPr>
        <w:t>X’,Y’</w:t>
      </w:r>
      <w:r>
        <w:rPr>
          <w:rFonts w:ascii="Times New Roman" w:hAnsi="Times New Roman"/>
          <w:sz w:val="20"/>
          <w:szCs w:val="20"/>
        </w:rPr>
        <w:t xml:space="preserve">) after movement can be </w:t>
      </w:r>
      <w:r>
        <w:rPr>
          <w:rFonts w:hint="eastAsia" w:ascii="Times New Roman" w:hAnsi="Times New Roman"/>
          <w:sz w:val="20"/>
          <w:szCs w:val="20"/>
        </w:rPr>
        <w:t>calculated</w:t>
      </w:r>
      <w:r>
        <w:rPr>
          <w:rFonts w:ascii="Times New Roman" w:hAnsi="Times New Roman"/>
          <w:sz w:val="20"/>
          <w:szCs w:val="20"/>
        </w:rPr>
        <w:t>. Based on the coordination of gNB 4 (</w:t>
      </w:r>
      <w:r>
        <w:rPr>
          <w:rFonts w:ascii="Times New Roman" w:hAnsi="Times New Roman"/>
          <w:i/>
          <w:iCs/>
          <w:sz w:val="20"/>
          <w:szCs w:val="20"/>
        </w:rPr>
        <w:t>x</w:t>
      </w:r>
      <w:r>
        <w:rPr>
          <w:rFonts w:ascii="Times New Roman" w:hAnsi="Times New Roman"/>
          <w:i/>
          <w:iCs/>
          <w:sz w:val="20"/>
          <w:szCs w:val="20"/>
          <w:vertAlign w:val="subscript"/>
        </w:rPr>
        <w:t>4</w:t>
      </w:r>
      <w:r>
        <w:rPr>
          <w:rFonts w:ascii="Times New Roman" w:hAnsi="Times New Roman"/>
          <w:i/>
          <w:iCs/>
          <w:sz w:val="20"/>
          <w:szCs w:val="20"/>
        </w:rPr>
        <w:t>,y</w:t>
      </w:r>
      <w:r>
        <w:rPr>
          <w:rFonts w:ascii="Times New Roman" w:hAnsi="Times New Roman"/>
          <w:i/>
          <w:iCs/>
          <w:sz w:val="20"/>
          <w:szCs w:val="20"/>
          <w:vertAlign w:val="subscript"/>
        </w:rPr>
        <w:t>4</w:t>
      </w:r>
      <w:r>
        <w:rPr>
          <w:rFonts w:ascii="Times New Roman" w:hAnsi="Times New Roman"/>
          <w:sz w:val="20"/>
          <w:szCs w:val="20"/>
        </w:rPr>
        <w:t>) and estimated coordination (</w:t>
      </w:r>
      <w:r>
        <w:rPr>
          <w:rFonts w:ascii="Times New Roman" w:hAnsi="Times New Roman"/>
          <w:i/>
          <w:iCs/>
          <w:sz w:val="20"/>
          <w:szCs w:val="20"/>
        </w:rPr>
        <w:t>X’,Y’</w:t>
      </w:r>
      <w:r>
        <w:rPr>
          <w:rFonts w:ascii="Times New Roman" w:hAnsi="Times New Roman"/>
          <w:sz w:val="20"/>
          <w:szCs w:val="20"/>
        </w:rPr>
        <w:t xml:space="preserve">), the TA in new </w:t>
      </w:r>
      <w:r>
        <w:rPr>
          <w:rFonts w:hint="eastAsia" w:ascii="Times New Roman" w:hAnsi="Times New Roman"/>
          <w:sz w:val="20"/>
          <w:szCs w:val="20"/>
        </w:rPr>
        <w:t xml:space="preserve">camping </w:t>
      </w:r>
      <w:r>
        <w:rPr>
          <w:rFonts w:ascii="Times New Roman" w:hAnsi="Times New Roman"/>
          <w:sz w:val="20"/>
          <w:szCs w:val="20"/>
        </w:rPr>
        <w:t>cell can be evaluated.</w:t>
      </w:r>
      <w:r>
        <w:rPr>
          <w:rFonts w:hint="eastAsia" w:ascii="Times New Roman" w:hAnsi="Times New Roman"/>
          <w:sz w:val="20"/>
          <w:szCs w:val="20"/>
        </w:rPr>
        <w:t xml:space="preserve"> This doesn</w:t>
      </w:r>
      <w:r>
        <w:rPr>
          <w:rFonts w:ascii="Times New Roman" w:hAnsi="Times New Roman"/>
          <w:sz w:val="20"/>
          <w:szCs w:val="20"/>
        </w:rPr>
        <w:t>’</w:t>
      </w:r>
      <w:r>
        <w:rPr>
          <w:rFonts w:hint="eastAsia" w:ascii="Times New Roman" w:hAnsi="Times New Roman"/>
          <w:sz w:val="20"/>
          <w:szCs w:val="20"/>
        </w:rPr>
        <w:t>t require UE receive RS from the new camping cell, but it</w:t>
      </w:r>
      <w:r>
        <w:rPr>
          <w:rFonts w:ascii="Times New Roman" w:hAnsi="Times New Roman"/>
          <w:sz w:val="20"/>
          <w:szCs w:val="20"/>
        </w:rPr>
        <w:t>’</w:t>
      </w:r>
      <w:r>
        <w:rPr>
          <w:rFonts w:hint="eastAsia" w:ascii="Times New Roman" w:hAnsi="Times New Roman"/>
          <w:sz w:val="20"/>
          <w:szCs w:val="20"/>
        </w:rPr>
        <w:t>s necessary to let UE know the gNBs</w:t>
      </w:r>
      <w:r>
        <w:rPr>
          <w:rFonts w:ascii="Times New Roman" w:hAnsi="Times New Roman"/>
          <w:sz w:val="20"/>
          <w:szCs w:val="20"/>
        </w:rPr>
        <w:t>’</w:t>
      </w:r>
      <w:r>
        <w:rPr>
          <w:rFonts w:hint="eastAsia" w:ascii="Times New Roman" w:hAnsi="Times New Roman"/>
          <w:sz w:val="20"/>
          <w:szCs w:val="20"/>
        </w:rPr>
        <w:t xml:space="preserve"> location information. </w:t>
      </w:r>
      <w:r>
        <w:rPr>
          <w:rFonts w:ascii="Times New Roman" w:hAnsi="Times New Roman"/>
          <w:sz w:val="20"/>
          <w:szCs w:val="20"/>
        </w:rPr>
        <w:t>Hence, we have the following observation:</w:t>
      </w:r>
    </w:p>
    <w:p>
      <w:pPr>
        <w:pStyle w:val="15"/>
        <w:adjustRightInd w:val="0"/>
        <w:snapToGrid w:val="0"/>
        <w:spacing w:before="180" w:beforeLines="50" w:after="180" w:afterLines="50"/>
        <w:jc w:val="both"/>
        <w:rPr>
          <w:i/>
          <w:iCs/>
          <w:lang w:val="en-US" w:eastAsia="zh-CN"/>
        </w:rPr>
      </w:pPr>
      <w:bookmarkStart w:id="9" w:name="_Ref16763"/>
      <w:bookmarkStart w:id="10" w:name="_Ref5815"/>
      <w:r>
        <w:rPr>
          <w:i/>
          <w:iCs/>
        </w:rPr>
        <w:t xml:space="preserve">Observation </w:t>
      </w:r>
      <w:r>
        <w:rPr>
          <w:i/>
          <w:iCs/>
        </w:rPr>
        <w:fldChar w:fldCharType="begin"/>
      </w:r>
      <w:r>
        <w:rPr>
          <w:i/>
          <w:iCs/>
        </w:rPr>
        <w:instrText xml:space="preserve"> SEQ Observation \* ARABIC </w:instrText>
      </w:r>
      <w:r>
        <w:rPr>
          <w:i/>
          <w:iCs/>
        </w:rPr>
        <w:fldChar w:fldCharType="separate"/>
      </w:r>
      <w:r>
        <w:rPr>
          <w:i/>
          <w:iCs/>
        </w:rPr>
        <w:t>2</w:t>
      </w:r>
      <w:r>
        <w:rPr>
          <w:i/>
          <w:iCs/>
        </w:rPr>
        <w:fldChar w:fldCharType="end"/>
      </w:r>
      <w:r>
        <w:rPr>
          <w:i/>
          <w:iCs/>
          <w:lang w:val="en-US" w:eastAsia="zh-CN"/>
        </w:rPr>
        <w:t>: UE can automatically calculate the corresponding TA of a new cell based on its mobility when it camps on the new cell within the validity area.</w:t>
      </w:r>
      <w:bookmarkEnd w:id="9"/>
      <w:r>
        <w:rPr>
          <w:i/>
          <w:iCs/>
          <w:lang w:val="en-US" w:eastAsia="zh-CN"/>
        </w:rPr>
        <w:t xml:space="preserve"> </w:t>
      </w:r>
      <w:r>
        <w:rPr>
          <w:rFonts w:hint="eastAsia"/>
          <w:i/>
          <w:iCs/>
          <w:lang w:val="en-US" w:eastAsia="zh-CN"/>
        </w:rPr>
        <w:t>I</w:t>
      </w:r>
      <w:r>
        <w:rPr>
          <w:i/>
          <w:iCs/>
          <w:lang w:val="en-US" w:eastAsia="zh-CN"/>
        </w:rPr>
        <w:t>t’s beneficial</w:t>
      </w:r>
      <w:r>
        <w:rPr>
          <w:rFonts w:hint="eastAsia"/>
          <w:i/>
          <w:iCs/>
          <w:lang w:val="en-US" w:eastAsia="zh-CN"/>
        </w:rPr>
        <w:t xml:space="preserve"> </w:t>
      </w:r>
      <w:r>
        <w:rPr>
          <w:i/>
          <w:iCs/>
          <w:lang w:val="en-US" w:eastAsia="zh-CN"/>
        </w:rPr>
        <w:t xml:space="preserve">to let UE know the </w:t>
      </w:r>
      <w:r>
        <w:rPr>
          <w:rFonts w:hint="eastAsia"/>
          <w:i/>
          <w:iCs/>
          <w:lang w:val="en-US" w:eastAsia="zh-CN"/>
        </w:rPr>
        <w:t>coordinates</w:t>
      </w:r>
      <w:r>
        <w:rPr>
          <w:i/>
          <w:iCs/>
          <w:lang w:val="en-US" w:eastAsia="zh-CN"/>
        </w:rPr>
        <w:t xml:space="preserve"> of the gNB</w:t>
      </w:r>
      <w:r>
        <w:rPr>
          <w:rFonts w:hint="eastAsia"/>
          <w:i/>
          <w:iCs/>
          <w:lang w:val="en-US" w:eastAsia="zh-CN"/>
        </w:rPr>
        <w:t>s</w:t>
      </w:r>
      <w:r>
        <w:rPr>
          <w:i/>
          <w:iCs/>
          <w:lang w:val="en-US" w:eastAsia="zh-CN"/>
        </w:rPr>
        <w:t xml:space="preserve"> within the validity area</w:t>
      </w:r>
      <w:r>
        <w:rPr>
          <w:rFonts w:hint="eastAsia"/>
          <w:i/>
          <w:iCs/>
          <w:lang w:val="en-US" w:eastAsia="zh-CN"/>
        </w:rPr>
        <w:t xml:space="preserve"> for TA update</w:t>
      </w:r>
      <w:r>
        <w:rPr>
          <w:i/>
          <w:iCs/>
          <w:lang w:val="en-US" w:eastAsia="zh-CN"/>
        </w:rPr>
        <w:t>.</w:t>
      </w:r>
      <w:bookmarkEnd w:id="10"/>
    </w:p>
    <w:p>
      <w:pPr>
        <w:pStyle w:val="94"/>
        <w:numPr>
          <w:ilvl w:val="0"/>
          <w:numId w:val="8"/>
        </w:numPr>
        <w:snapToGrid w:val="0"/>
        <w:spacing w:before="180" w:beforeLines="50" w:afterLines="50" w:line="240" w:lineRule="auto"/>
        <w:jc w:val="both"/>
        <w:rPr>
          <w:sz w:val="20"/>
        </w:rPr>
      </w:pPr>
      <w:r>
        <w:rPr>
          <w:b/>
          <w:bCs/>
          <w:sz w:val="20"/>
        </w:rPr>
        <w:t xml:space="preserve">Option </w:t>
      </w:r>
      <w:r>
        <w:rPr>
          <w:rFonts w:hint="eastAsia"/>
          <w:b/>
          <w:bCs/>
          <w:sz w:val="20"/>
          <w:lang w:eastAsia="zh-CN"/>
        </w:rPr>
        <w:t>3</w:t>
      </w:r>
      <w:r>
        <w:rPr>
          <w:b/>
          <w:bCs/>
          <w:sz w:val="20"/>
        </w:rPr>
        <w:t xml:space="preserve">: </w:t>
      </w:r>
      <w:r>
        <w:rPr>
          <w:rFonts w:eastAsia="等线"/>
          <w:b/>
          <w:bCs/>
          <w:sz w:val="20"/>
          <w:lang w:eastAsia="zh-CN"/>
        </w:rPr>
        <w:t>UE maintains multiple TA values, e.g. UE obtains TA using RACH</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As described above, UL SRS TA could be determined by Msg2, as shown </w:t>
      </w:r>
      <w:r>
        <w:rPr>
          <w:rFonts w:hint="eastAsia" w:ascii="Times New Roman" w:hAnsi="Times New Roman"/>
          <w:sz w:val="20"/>
          <w:szCs w:val="20"/>
        </w:rPr>
        <w:t xml:space="preserve">in </w:t>
      </w:r>
      <w:r>
        <w:rPr>
          <w:rFonts w:hint="eastAsia" w:ascii="Times New Roman" w:hAnsi="Times New Roman"/>
          <w:sz w:val="20"/>
          <w:szCs w:val="20"/>
        </w:rPr>
        <w:fldChar w:fldCharType="begin"/>
      </w:r>
      <w:r>
        <w:rPr>
          <w:rFonts w:hint="eastAsia" w:ascii="Times New Roman" w:hAnsi="Times New Roman"/>
          <w:sz w:val="20"/>
          <w:szCs w:val="20"/>
        </w:rPr>
        <w:instrText xml:space="preserve"> REF _Ref19295 \h </w:instrText>
      </w:r>
      <w:r>
        <w:rPr>
          <w:rFonts w:hint="eastAsia" w:ascii="Times New Roman" w:hAnsi="Times New Roman"/>
          <w:sz w:val="20"/>
          <w:szCs w:val="20"/>
        </w:rPr>
        <w:fldChar w:fldCharType="separate"/>
      </w:r>
      <w:r>
        <w:rPr>
          <w:rFonts w:hint="eastAsia" w:ascii="Times New Roman" w:hAnsi="Times New Roman"/>
          <w:sz w:val="20"/>
          <w:szCs w:val="20"/>
        </w:rPr>
        <w:t>Figure 3</w:t>
      </w:r>
      <w:r>
        <w:rPr>
          <w:rFonts w:hint="eastAsia" w:ascii="Times New Roman" w:hAnsi="Times New Roman"/>
          <w:sz w:val="20"/>
          <w:szCs w:val="20"/>
        </w:rPr>
        <w:fldChar w:fldCharType="end"/>
      </w:r>
      <w:r>
        <w:rPr>
          <w:rFonts w:hint="eastAsia" w:ascii="Times New Roman" w:hAnsi="Times New Roman"/>
          <w:sz w:val="20"/>
          <w:szCs w:val="20"/>
        </w:rPr>
        <w:t>, UE has to i</w:t>
      </w:r>
      <w:r>
        <w:rPr>
          <w:rFonts w:ascii="Times New Roman" w:hAnsi="Times New Roman"/>
          <w:sz w:val="20"/>
          <w:szCs w:val="20"/>
        </w:rPr>
        <w:t xml:space="preserve">nitiate RACH procedure when camps on a new cell. If the new camp cell configures new TA for UE in Msg2, UE has to initiate RACH procedure. If the new cell configures new TA for UE in MAC CE, gNB has to support SDT to avoid UE enter RRC_CONNECT state. Both of these two choices require UE initiating new TA request or let gNB know there’s a new UE within its coverage. Therefore, frequent UE request is required to obtain new TA in Msg2 or MAC CE signal. </w:t>
      </w:r>
      <w:r>
        <w:rPr>
          <w:rFonts w:hint="eastAsia" w:ascii="Times New Roman" w:hAnsi="Times New Roman"/>
          <w:sz w:val="20"/>
          <w:szCs w:val="20"/>
        </w:rPr>
        <w:t>In this way, compared with options 1 and 2, UE can get more accurate TA using RACH</w:t>
      </w:r>
      <w:r>
        <w:rPr>
          <w:rFonts w:ascii="Times New Roman" w:hAnsi="Times New Roman"/>
          <w:sz w:val="20"/>
          <w:szCs w:val="20"/>
        </w:rPr>
        <w:t xml:space="preserve"> with more power consumption</w:t>
      </w:r>
      <w:r>
        <w:rPr>
          <w:rFonts w:hint="eastAsia" w:ascii="Times New Roman" w:hAnsi="Times New Roman"/>
          <w:sz w:val="20"/>
          <w:szCs w:val="20"/>
        </w:rPr>
        <w:t>.</w:t>
      </w:r>
    </w:p>
    <w:p>
      <w:pPr>
        <w:adjustRightInd w:val="0"/>
        <w:snapToGrid w:val="0"/>
        <w:spacing w:after="180" w:afterLines="50"/>
        <w:jc w:val="center"/>
        <w:rPr>
          <w:rFonts w:ascii="Times New Roman" w:hAnsi="Times New Roman"/>
        </w:rPr>
      </w:pPr>
      <w:r>
        <w:rPr>
          <w:rFonts w:ascii="Times New Roman" w:hAnsi="Times New Roman"/>
        </w:rPr>
        <w:drawing>
          <wp:inline distT="0" distB="0" distL="114300" distR="114300">
            <wp:extent cx="3710940" cy="1736090"/>
            <wp:effectExtent l="0" t="0" r="3810" b="1651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3710940" cy="1736090"/>
                    </a:xfrm>
                    <a:prstGeom prst="rect">
                      <a:avLst/>
                    </a:prstGeom>
                    <a:noFill/>
                    <a:ln>
                      <a:noFill/>
                    </a:ln>
                  </pic:spPr>
                </pic:pic>
              </a:graphicData>
            </a:graphic>
          </wp:inline>
        </w:drawing>
      </w:r>
    </w:p>
    <w:p>
      <w:pPr>
        <w:pStyle w:val="15"/>
        <w:adjustRightInd w:val="0"/>
        <w:snapToGrid w:val="0"/>
        <w:spacing w:after="180" w:afterLines="50" w:line="276" w:lineRule="auto"/>
        <w:jc w:val="center"/>
        <w:rPr>
          <w:b w:val="0"/>
          <w:bCs w:val="0"/>
          <w:lang w:val="en-US" w:eastAsia="zh-CN"/>
        </w:rPr>
      </w:pPr>
      <w:bookmarkStart w:id="11" w:name="_Ref19295"/>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3</w:t>
      </w:r>
      <w:r>
        <w:rPr>
          <w:b w:val="0"/>
          <w:bCs w:val="0"/>
        </w:rPr>
        <w:fldChar w:fldCharType="end"/>
      </w:r>
      <w:bookmarkEnd w:id="11"/>
      <w:r>
        <w:rPr>
          <w:b w:val="0"/>
          <w:bCs w:val="0"/>
          <w:lang w:val="en-US" w:eastAsia="zh-CN"/>
        </w:rPr>
        <w:t xml:space="preserve"> gNB configure new TA for UE</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SIB contains the </w:t>
      </w:r>
      <w:r>
        <w:rPr>
          <w:rFonts w:ascii="Times New Roman" w:hAnsi="Times New Roman"/>
          <w:i/>
          <w:sz w:val="20"/>
          <w:szCs w:val="20"/>
        </w:rPr>
        <w:t>TA offset</w:t>
      </w:r>
      <w:r>
        <w:rPr>
          <w:rFonts w:ascii="Times New Roman" w:hAnsi="Times New Roman"/>
          <w:sz w:val="20"/>
          <w:szCs w:val="20"/>
        </w:rPr>
        <w:t xml:space="preserve"> value for UE, but it’s a </w:t>
      </w:r>
      <w:r>
        <w:rPr>
          <w:rFonts w:ascii="Times New Roman" w:hAnsi="Times New Roman" w:eastAsia="Times-Roman"/>
          <w:color w:val="000000"/>
          <w:sz w:val="19"/>
          <w:szCs w:val="19"/>
          <w:lang w:bidi="ar"/>
        </w:rPr>
        <w:t xml:space="preserve">cell specific parameter, the new camps-on UE’s </w:t>
      </w:r>
      <w:r>
        <w:rPr>
          <w:rFonts w:ascii="Times New Roman" w:hAnsi="Times New Roman" w:eastAsia="Times-Roman"/>
          <w:i/>
          <w:color w:val="000000"/>
          <w:sz w:val="19"/>
          <w:szCs w:val="19"/>
          <w:lang w:bidi="ar"/>
        </w:rPr>
        <w:t>N_TA</w:t>
      </w:r>
      <w:r>
        <w:rPr>
          <w:rFonts w:ascii="Times New Roman" w:hAnsi="Times New Roman" w:eastAsia="Times-Roman"/>
          <w:color w:val="000000"/>
          <w:sz w:val="19"/>
          <w:szCs w:val="19"/>
          <w:lang w:bidi="ar"/>
        </w:rPr>
        <w:t xml:space="preserve"> (from previous serving cell) combining </w:t>
      </w:r>
      <w:r>
        <w:rPr>
          <w:rFonts w:ascii="Times New Roman" w:hAnsi="Times New Roman"/>
          <w:i/>
          <w:sz w:val="20"/>
          <w:szCs w:val="20"/>
        </w:rPr>
        <w:t>N_TA-Offset</w:t>
      </w:r>
      <w:r>
        <w:rPr>
          <w:rFonts w:ascii="Times New Roman" w:hAnsi="Times New Roman"/>
          <w:sz w:val="20"/>
          <w:szCs w:val="20"/>
        </w:rPr>
        <w:t xml:space="preserve"> (from current camp cell) is not applicable to the TA determination. Hence, we have the following observation:</w:t>
      </w:r>
    </w:p>
    <w:p>
      <w:pPr>
        <w:pStyle w:val="15"/>
        <w:adjustRightInd w:val="0"/>
        <w:snapToGrid w:val="0"/>
        <w:spacing w:before="180" w:beforeLines="50" w:after="180" w:afterLines="50"/>
        <w:jc w:val="both"/>
        <w:rPr>
          <w:i/>
          <w:iCs/>
          <w:lang w:val="en-US" w:eastAsia="zh-CN"/>
        </w:rPr>
      </w:pPr>
      <w:bookmarkStart w:id="12" w:name="_Ref16783"/>
      <w:r>
        <w:rPr>
          <w:i/>
          <w:iCs/>
        </w:rPr>
        <w:t xml:space="preserve">Observation </w:t>
      </w:r>
      <w:r>
        <w:rPr>
          <w:i/>
          <w:iCs/>
        </w:rPr>
        <w:fldChar w:fldCharType="begin"/>
      </w:r>
      <w:r>
        <w:rPr>
          <w:i/>
          <w:iCs/>
        </w:rPr>
        <w:instrText xml:space="preserve"> SEQ Observation \* ARABIC </w:instrText>
      </w:r>
      <w:r>
        <w:rPr>
          <w:i/>
          <w:iCs/>
        </w:rPr>
        <w:fldChar w:fldCharType="separate"/>
      </w:r>
      <w:r>
        <w:rPr>
          <w:i/>
          <w:iCs/>
        </w:rPr>
        <w:t>3</w:t>
      </w:r>
      <w:r>
        <w:rPr>
          <w:i/>
          <w:iCs/>
        </w:rPr>
        <w:fldChar w:fldCharType="end"/>
      </w:r>
      <w:r>
        <w:rPr>
          <w:i/>
          <w:iCs/>
          <w:lang w:val="en-US" w:eastAsia="zh-CN"/>
        </w:rPr>
        <w:t xml:space="preserve">: If </w:t>
      </w:r>
      <w:r>
        <w:rPr>
          <w:i/>
          <w:iCs/>
          <w:lang w:val="en-US" w:eastAsia="ja-JP"/>
        </w:rPr>
        <w:t xml:space="preserve">a </w:t>
      </w:r>
      <w:r>
        <w:rPr>
          <w:rFonts w:hint="eastAsia"/>
          <w:i/>
          <w:iCs/>
          <w:lang w:val="en-US" w:eastAsia="zh-CN"/>
        </w:rPr>
        <w:t xml:space="preserve">new </w:t>
      </w:r>
      <w:r>
        <w:rPr>
          <w:i/>
          <w:iCs/>
          <w:lang w:val="en-US" w:eastAsia="ja-JP"/>
        </w:rPr>
        <w:t xml:space="preserve">cell can configure TA for UE when UE camps on </w:t>
      </w:r>
      <w:r>
        <w:rPr>
          <w:rFonts w:hint="eastAsia"/>
          <w:i/>
          <w:iCs/>
          <w:lang w:val="en-US" w:eastAsia="zh-CN"/>
        </w:rPr>
        <w:t xml:space="preserve">this </w:t>
      </w:r>
      <w:r>
        <w:rPr>
          <w:i/>
          <w:iCs/>
          <w:lang w:val="en-US" w:eastAsia="ja-JP"/>
        </w:rPr>
        <w:t>cell, UE has to initiate RACH procedure. And the new cell should support SDT feature to avoid UE entering RRC_CONNECTED state.</w:t>
      </w:r>
      <w:r>
        <w:rPr>
          <w:i/>
          <w:iCs/>
          <w:lang w:val="en-US" w:eastAsia="zh-CN"/>
        </w:rPr>
        <w:t xml:space="preserve"> </w:t>
      </w:r>
      <w:bookmarkEnd w:id="12"/>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Among these 3 options proposed in the agreement, option 1 is our first preference, the reasons are as follows. Compared to option 3, option 1 doesn</w:t>
      </w:r>
      <w:r>
        <w:rPr>
          <w:rFonts w:ascii="Times New Roman" w:hAnsi="Times New Roman"/>
          <w:sz w:val="20"/>
          <w:szCs w:val="20"/>
        </w:rPr>
        <w:t>’</w:t>
      </w:r>
      <w:r>
        <w:rPr>
          <w:rFonts w:hint="eastAsia" w:ascii="Times New Roman" w:hAnsi="Times New Roman"/>
          <w:sz w:val="20"/>
          <w:szCs w:val="20"/>
        </w:rPr>
        <w:t>t require any signalling exchange between UE and gNB or between UE and LMF, while in option 3 UE has to initiate RACH procedure when camps on a new cell. Compared to option 2, option 1 also doesn</w:t>
      </w:r>
      <w:r>
        <w:rPr>
          <w:rFonts w:ascii="Times New Roman" w:hAnsi="Times New Roman"/>
          <w:sz w:val="20"/>
          <w:szCs w:val="20"/>
        </w:rPr>
        <w:t>’</w:t>
      </w:r>
      <w:r>
        <w:rPr>
          <w:rFonts w:hint="eastAsia" w:ascii="Times New Roman" w:hAnsi="Times New Roman"/>
          <w:sz w:val="20"/>
          <w:szCs w:val="20"/>
        </w:rPr>
        <w:t>t require any measurement behavior and calculation on UE side, further improve UE</w:t>
      </w:r>
      <w:r>
        <w:rPr>
          <w:rFonts w:ascii="Times New Roman" w:hAnsi="Times New Roman"/>
          <w:sz w:val="20"/>
          <w:szCs w:val="20"/>
        </w:rPr>
        <w:t>’</w:t>
      </w:r>
      <w:r>
        <w:rPr>
          <w:rFonts w:hint="eastAsia" w:ascii="Times New Roman" w:hAnsi="Times New Roman"/>
          <w:sz w:val="20"/>
          <w:szCs w:val="20"/>
        </w:rPr>
        <w:t>s battery life on the whole. From another perspective, the validity are</w:t>
      </w:r>
      <w:r>
        <w:rPr>
          <w:rFonts w:ascii="Times New Roman" w:hAnsi="Times New Roman"/>
          <w:sz w:val="20"/>
          <w:szCs w:val="20"/>
        </w:rPr>
        <w:t>a</w:t>
      </w:r>
      <w:r>
        <w:rPr>
          <w:rFonts w:hint="eastAsia" w:ascii="Times New Roman" w:hAnsi="Times New Roman"/>
          <w:sz w:val="20"/>
          <w:szCs w:val="20"/>
        </w:rPr>
        <w:t xml:space="preserve"> usually include</w:t>
      </w:r>
      <w:r>
        <w:rPr>
          <w:rFonts w:ascii="Times New Roman" w:hAnsi="Times New Roman"/>
          <w:sz w:val="20"/>
          <w:szCs w:val="20"/>
        </w:rPr>
        <w:t>s</w:t>
      </w:r>
      <w:r>
        <w:rPr>
          <w:rFonts w:hint="eastAsia" w:ascii="Times New Roman" w:hAnsi="Times New Roman"/>
          <w:sz w:val="20"/>
          <w:szCs w:val="20"/>
        </w:rPr>
        <w:t xml:space="preserve"> several limited cells, and as mentioned above, </w:t>
      </w:r>
      <w:r>
        <w:rPr>
          <w:rFonts w:ascii="Times New Roman" w:hAnsi="Times New Roman"/>
          <w:sz w:val="20"/>
          <w:szCs w:val="20"/>
        </w:rPr>
        <w:t xml:space="preserve">the difference between the ideal TA and the </w:t>
      </w:r>
      <w:r>
        <w:rPr>
          <w:rFonts w:hint="eastAsia" w:ascii="Times New Roman" w:hAnsi="Times New Roman"/>
          <w:sz w:val="20"/>
          <w:szCs w:val="20"/>
        </w:rPr>
        <w:t xml:space="preserve">old </w:t>
      </w:r>
      <w:r>
        <w:rPr>
          <w:rFonts w:ascii="Times New Roman" w:hAnsi="Times New Roman"/>
          <w:sz w:val="20"/>
          <w:szCs w:val="20"/>
        </w:rPr>
        <w:t xml:space="preserve">TA is small. So it’s feasible </w:t>
      </w:r>
      <w:r>
        <w:rPr>
          <w:rFonts w:hint="eastAsia" w:ascii="Times New Roman" w:hAnsi="Times New Roman"/>
          <w:sz w:val="20"/>
          <w:szCs w:val="20"/>
        </w:rPr>
        <w:t>for</w:t>
      </w:r>
      <w:r>
        <w:rPr>
          <w:rFonts w:ascii="Times New Roman" w:hAnsi="Times New Roman" w:eastAsia="宋体"/>
          <w:sz w:val="20"/>
          <w:szCs w:val="20"/>
        </w:rPr>
        <w:t xml:space="preserve"> UE </w:t>
      </w:r>
      <w:r>
        <w:rPr>
          <w:rFonts w:hint="eastAsia" w:ascii="Times New Roman" w:hAnsi="Times New Roman" w:eastAsia="宋体"/>
          <w:sz w:val="20"/>
          <w:szCs w:val="20"/>
        </w:rPr>
        <w:t xml:space="preserve">to </w:t>
      </w:r>
      <w:r>
        <w:rPr>
          <w:rFonts w:ascii="Times New Roman" w:hAnsi="Times New Roman" w:eastAsia="宋体"/>
          <w:sz w:val="20"/>
          <w:szCs w:val="20"/>
        </w:rPr>
        <w:t>maintain the TA obtained from the last serving cell within the validity area</w:t>
      </w:r>
      <w:r>
        <w:rPr>
          <w:rFonts w:hint="eastAsia" w:ascii="Times New Roman" w:hAnsi="Times New Roman" w:eastAsia="宋体"/>
          <w:sz w:val="20"/>
          <w:szCs w:val="20"/>
        </w:rPr>
        <w:t xml:space="preserve">. </w:t>
      </w:r>
      <w:r>
        <w:rPr>
          <w:rFonts w:ascii="Times New Roman" w:hAnsi="Times New Roman"/>
          <w:sz w:val="20"/>
          <w:szCs w:val="20"/>
        </w:rPr>
        <w:t>Based on the above analysis, we have the following proposal:</w:t>
      </w:r>
    </w:p>
    <w:p>
      <w:pPr>
        <w:pStyle w:val="15"/>
        <w:adjustRightInd w:val="0"/>
        <w:snapToGrid w:val="0"/>
        <w:spacing w:before="180" w:beforeLines="50" w:after="180" w:afterLines="50"/>
        <w:jc w:val="both"/>
        <w:rPr>
          <w:i/>
          <w:iCs/>
          <w:lang w:val="en-US" w:eastAsia="zh-CN"/>
        </w:rPr>
      </w:pPr>
      <w:bookmarkStart w:id="13" w:name="_Ref21708"/>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lang w:val="en-US" w:eastAsia="zh-CN"/>
        </w:rPr>
        <w:t xml:space="preserve">: </w:t>
      </w:r>
      <w:r>
        <w:rPr>
          <w:rFonts w:hint="eastAsia"/>
          <w:i/>
          <w:iCs/>
          <w:lang w:val="en-US" w:eastAsia="zh-CN"/>
        </w:rPr>
        <w:t>At least s</w:t>
      </w:r>
      <w:r>
        <w:rPr>
          <w:i/>
          <w:iCs/>
          <w:lang w:val="en-US" w:eastAsia="zh-CN"/>
        </w:rPr>
        <w:t>upport</w:t>
      </w:r>
      <w:r>
        <w:rPr>
          <w:rFonts w:hint="eastAsia"/>
          <w:i/>
          <w:iCs/>
          <w:lang w:val="en-US" w:eastAsia="zh-CN"/>
        </w:rPr>
        <w:t xml:space="preserve"> option 1</w:t>
      </w:r>
      <w:r>
        <w:rPr>
          <w:i/>
          <w:iCs/>
          <w:lang w:val="en-US" w:eastAsia="zh-CN"/>
        </w:rPr>
        <w:t xml:space="preserve"> </w:t>
      </w:r>
      <w:r>
        <w:rPr>
          <w:rFonts w:hint="eastAsia"/>
          <w:i/>
          <w:iCs/>
          <w:lang w:val="en-US" w:eastAsia="zh-CN"/>
        </w:rPr>
        <w:t xml:space="preserve">for TA update </w:t>
      </w:r>
      <w:r>
        <w:rPr>
          <w:i/>
          <w:iCs/>
          <w:lang w:val="en-US" w:eastAsia="zh-CN"/>
        </w:rPr>
        <w:t>when UE camps on a new cell within the validity area</w:t>
      </w:r>
      <w:bookmarkEnd w:id="13"/>
      <w:r>
        <w:rPr>
          <w:rFonts w:hint="eastAsia"/>
          <w:i/>
          <w:iCs/>
          <w:lang w:val="en-US" w:eastAsia="zh-CN"/>
        </w:rPr>
        <w:t>.</w:t>
      </w:r>
    </w:p>
    <w:p>
      <w:pPr>
        <w:pStyle w:val="4"/>
        <w:spacing w:after="140"/>
        <w:ind w:firstLine="241"/>
      </w:pPr>
      <w:r>
        <w:t>Timing advance</w:t>
      </w:r>
      <w:r>
        <w:rPr>
          <w:rFonts w:hint="eastAsia"/>
          <w:lang w:val="en-US"/>
        </w:rPr>
        <w:t xml:space="preserve"> </w:t>
      </w:r>
      <w:r>
        <w:t xml:space="preserve">validation </w:t>
      </w:r>
      <w:r>
        <w:rPr>
          <w:rFonts w:hint="eastAsia"/>
          <w:lang w:val="en-US"/>
        </w:rPr>
        <w:t>criterion</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Rel-17, UE </w:t>
      </w:r>
      <w:r>
        <w:rPr>
          <w:rFonts w:hint="eastAsia" w:ascii="Times New Roman" w:hAnsi="Times New Roman"/>
          <w:sz w:val="20"/>
          <w:szCs w:val="20"/>
        </w:rPr>
        <w:t xml:space="preserve">will </w:t>
      </w:r>
      <w:r>
        <w:rPr>
          <w:rFonts w:ascii="Times New Roman" w:hAnsi="Times New Roman"/>
          <w:sz w:val="20"/>
          <w:szCs w:val="20"/>
        </w:rPr>
        <w:t xml:space="preserve">receive </w:t>
      </w:r>
      <w:r>
        <w:rPr>
          <w:rFonts w:ascii="Times New Roman" w:hAnsi="Times New Roman"/>
          <w:i/>
          <w:sz w:val="20"/>
          <w:szCs w:val="20"/>
        </w:rPr>
        <w:t>RRCRelease</w:t>
      </w:r>
      <w:r>
        <w:rPr>
          <w:rFonts w:ascii="Times New Roman" w:hAnsi="Times New Roman"/>
          <w:sz w:val="20"/>
          <w:szCs w:val="20"/>
        </w:rPr>
        <w:t xml:space="preserve"> signal when </w:t>
      </w:r>
      <w:r>
        <w:rPr>
          <w:rFonts w:hint="eastAsia" w:ascii="Times New Roman" w:hAnsi="Times New Roman"/>
          <w:sz w:val="20"/>
          <w:szCs w:val="20"/>
        </w:rPr>
        <w:t>it</w:t>
      </w:r>
      <w:r>
        <w:rPr>
          <w:rFonts w:ascii="Times New Roman" w:hAnsi="Times New Roman"/>
          <w:sz w:val="20"/>
          <w:szCs w:val="20"/>
        </w:rPr>
        <w:t xml:space="preserve"> releases RRC connection, </w:t>
      </w:r>
      <w:r>
        <w:rPr>
          <w:rFonts w:hint="eastAsia" w:ascii="Times New Roman" w:hAnsi="Times New Roman"/>
          <w:sz w:val="20"/>
          <w:szCs w:val="20"/>
        </w:rPr>
        <w:t xml:space="preserve">wherein the </w:t>
      </w:r>
      <w:r>
        <w:rPr>
          <w:rFonts w:ascii="Times New Roman" w:hAnsi="Times New Roman"/>
          <w:i/>
          <w:sz w:val="20"/>
          <w:szCs w:val="20"/>
        </w:rPr>
        <w:t>RRCRelease</w:t>
      </w:r>
      <w:r>
        <w:rPr>
          <w:rFonts w:ascii="Times New Roman" w:hAnsi="Times New Roman"/>
          <w:sz w:val="20"/>
          <w:szCs w:val="20"/>
        </w:rPr>
        <w:t xml:space="preserve"> signal includes </w:t>
      </w:r>
      <w:r>
        <w:rPr>
          <w:rFonts w:ascii="Times New Roman" w:hAnsi="Times New Roman"/>
          <w:i/>
          <w:sz w:val="20"/>
          <w:szCs w:val="20"/>
        </w:rPr>
        <w:t>SRS-PosRRC-InactiveConfig</w:t>
      </w:r>
      <w:r>
        <w:rPr>
          <w:rFonts w:ascii="Times New Roman" w:hAnsi="Times New Roman"/>
          <w:sz w:val="20"/>
          <w:szCs w:val="20"/>
        </w:rPr>
        <w:t xml:space="preserve"> for the SRS configuration in RRC_INACTIVE state, the following configuration define</w:t>
      </w:r>
      <w:r>
        <w:rPr>
          <w:rFonts w:hint="eastAsia" w:ascii="Times New Roman" w:hAnsi="Times New Roman"/>
          <w:sz w:val="20"/>
          <w:szCs w:val="20"/>
        </w:rPr>
        <w:t>s</w:t>
      </w:r>
      <w:r>
        <w:rPr>
          <w:rFonts w:ascii="Times New Roman" w:hAnsi="Times New Roman"/>
          <w:sz w:val="20"/>
          <w:szCs w:val="20"/>
        </w:rPr>
        <w:t xml:space="preserve"> the TA validation for SRS transmission in RRC_INACTIVE</w:t>
      </w:r>
      <w:r>
        <w:rPr>
          <w:rFonts w:hint="eastAsia" w:ascii="Times New Roman" w:hAnsi="Times New Roman"/>
          <w:sz w:val="20"/>
          <w:szCs w:val="20"/>
        </w:rPr>
        <w:t xml:space="preserve"> state</w:t>
      </w:r>
      <w:r>
        <w:rPr>
          <w:rFonts w:ascii="Times New Roman" w:hAnsi="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utoSpaceDE w:val="0"/>
              <w:autoSpaceDN w:val="0"/>
              <w:adjustRightInd w:val="0"/>
              <w:snapToGrid w:val="0"/>
              <w:spacing w:before="180" w:beforeLines="50" w:after="180" w:afterLines="50" w:line="240" w:lineRule="auto"/>
              <w:jc w:val="both"/>
              <w:rPr>
                <w:rFonts w:ascii="Times New Roman" w:hAnsi="Times New Roman"/>
                <w:snapToGrid w:val="0"/>
                <w:sz w:val="20"/>
              </w:rPr>
            </w:pPr>
            <w:r>
              <w:rPr>
                <w:rFonts w:ascii="Times New Roman" w:hAnsi="Times New Roman"/>
                <w:b/>
                <w:sz w:val="20"/>
                <w:szCs w:val="20"/>
                <w:u w:val="single"/>
              </w:rPr>
              <w:t>TS 38.321 5.2 Maintenance of Uplink Time alignment:</w:t>
            </w:r>
          </w:p>
          <w:p>
            <w:pPr>
              <w:adjustRightInd w:val="0"/>
              <w:snapToGrid w:val="0"/>
              <w:spacing w:before="180" w:beforeLines="50" w:after="180" w:afterLines="50" w:line="240" w:lineRule="auto"/>
              <w:jc w:val="both"/>
              <w:rPr>
                <w:rFonts w:ascii="Times New Roman" w:hAnsi="Times New Roman"/>
                <w:sz w:val="20"/>
                <w:szCs w:val="20"/>
                <w:lang w:eastAsia="ko-KR"/>
              </w:rPr>
            </w:pPr>
            <w:r>
              <w:rPr>
                <w:rFonts w:ascii="Times New Roman" w:hAnsi="Times New Roman"/>
                <w:sz w:val="20"/>
                <w:szCs w:val="20"/>
                <w:lang w:eastAsia="ko-KR"/>
              </w:rPr>
              <w:t>RRC configures the following parameters for the maintenance of UL time alignment:</w:t>
            </w:r>
          </w:p>
          <w:p>
            <w:pPr>
              <w:pStyle w:val="84"/>
              <w:adjustRightInd w:val="0"/>
              <w:snapToGrid w:val="0"/>
              <w:spacing w:before="180" w:beforeLines="50" w:after="180" w:afterLines="50" w:line="240" w:lineRule="auto"/>
              <w:jc w:val="both"/>
              <w:rPr>
                <w:rFonts w:ascii="Times New Roman" w:hAnsi="Times New Roman"/>
                <w:sz w:val="20"/>
                <w:szCs w:val="20"/>
                <w:lang w:eastAsia="ko-KR"/>
              </w:rPr>
            </w:pPr>
            <w:r>
              <w:rPr>
                <w:rFonts w:ascii="Times New Roman" w:hAnsi="Times New Roman"/>
                <w:sz w:val="20"/>
                <w:szCs w:val="20"/>
                <w:lang w:eastAsia="ko-KR"/>
              </w:rPr>
              <w:t>-</w:t>
            </w:r>
            <w:r>
              <w:rPr>
                <w:rFonts w:ascii="Times New Roman" w:hAnsi="Times New Roman"/>
                <w:sz w:val="20"/>
                <w:szCs w:val="20"/>
                <w:lang w:eastAsia="ko-KR"/>
              </w:rPr>
              <w:tab/>
            </w:r>
            <w:r>
              <w:rPr>
                <w:rFonts w:ascii="Times New Roman" w:hAnsi="Times New Roman"/>
                <w:i/>
                <w:sz w:val="20"/>
                <w:szCs w:val="20"/>
                <w:lang w:eastAsia="ko-KR"/>
              </w:rPr>
              <w:t>timeAlignmentTimer</w:t>
            </w:r>
            <w:r>
              <w:rPr>
                <w:rFonts w:ascii="Times New Roman" w:hAnsi="Times New Roman"/>
                <w:sz w:val="20"/>
                <w:szCs w:val="20"/>
                <w:lang w:eastAsia="ko-KR"/>
              </w:rPr>
              <w:t xml:space="preserve"> (per TAG) which controls how long the MAC entity considers the Serving Cells belonging to the associated TAG to be uplink time aligned;</w:t>
            </w:r>
          </w:p>
          <w:p>
            <w:pPr>
              <w:pStyle w:val="84"/>
              <w:adjustRightInd w:val="0"/>
              <w:snapToGrid w:val="0"/>
              <w:spacing w:before="180" w:beforeLines="50" w:after="180" w:afterLines="50" w:line="240" w:lineRule="auto"/>
              <w:jc w:val="both"/>
              <w:rPr>
                <w:rFonts w:ascii="Times New Roman" w:hAnsi="Times New Roman"/>
                <w:sz w:val="20"/>
                <w:szCs w:val="20"/>
                <w:lang w:eastAsia="ko-KR"/>
              </w:rPr>
            </w:pPr>
            <w:r>
              <w:rPr>
                <w:rFonts w:ascii="Times New Roman" w:hAnsi="Times New Roman"/>
                <w:sz w:val="20"/>
                <w:szCs w:val="20"/>
              </w:rPr>
              <w:t>-</w:t>
            </w:r>
            <w:r>
              <w:rPr>
                <w:rFonts w:ascii="Times New Roman" w:hAnsi="Times New Roman"/>
                <w:sz w:val="20"/>
                <w:szCs w:val="20"/>
              </w:rPr>
              <w:tab/>
            </w:r>
            <w:r>
              <w:rPr>
                <w:rFonts w:ascii="Times New Roman" w:hAnsi="Times New Roman"/>
                <w:i/>
                <w:sz w:val="20"/>
                <w:szCs w:val="20"/>
              </w:rPr>
              <w:t>inactivePosSRS-TimeAlignmentTimer</w:t>
            </w:r>
            <w:r>
              <w:rPr>
                <w:rFonts w:ascii="Times New Roman" w:hAnsi="Times New Roman"/>
                <w:sz w:val="20"/>
                <w:szCs w:val="20"/>
              </w:rPr>
              <w:t xml:space="preserve"> which controls how long the MAC entity considers the Positioning SRS transmission in RRC_INACTIVE in clause 5.26 to be uplink time aligned;</w:t>
            </w:r>
          </w:p>
          <w:p>
            <w:pPr>
              <w:pStyle w:val="84"/>
              <w:adjustRightInd w:val="0"/>
              <w:snapToGrid w:val="0"/>
              <w:spacing w:before="180" w:beforeLines="50" w:after="180" w:afterLines="50" w:line="240" w:lineRule="auto"/>
              <w:jc w:val="both"/>
              <w:rPr>
                <w:rFonts w:ascii="Times New Roman" w:hAnsi="Times New Roman"/>
                <w:sz w:val="20"/>
                <w:szCs w:val="20"/>
                <w:lang w:eastAsia="ko-KR"/>
              </w:rPr>
            </w:pPr>
            <w:r>
              <w:rPr>
                <w:rFonts w:ascii="Times New Roman" w:hAnsi="Times New Roman"/>
                <w:sz w:val="20"/>
                <w:szCs w:val="20"/>
                <w:lang w:eastAsia="ko-KR"/>
              </w:rPr>
              <w:t>-</w:t>
            </w:r>
            <w:r>
              <w:rPr>
                <w:rFonts w:ascii="Times New Roman" w:hAnsi="Times New Roman"/>
                <w:sz w:val="20"/>
                <w:szCs w:val="20"/>
                <w:lang w:eastAsia="ko-KR"/>
              </w:rPr>
              <w:tab/>
            </w:r>
            <w:r>
              <w:rPr>
                <w:rFonts w:ascii="Times New Roman" w:hAnsi="Times New Roman"/>
                <w:i/>
                <w:sz w:val="20"/>
                <w:szCs w:val="20"/>
                <w:lang w:eastAsia="ko-KR"/>
              </w:rPr>
              <w:t>cg-SDT-TimeAlignmentTimer</w:t>
            </w:r>
            <w:r>
              <w:rPr>
                <w:rFonts w:ascii="Times New Roman" w:hAnsi="Times New Roman"/>
                <w:sz w:val="20"/>
                <w:szCs w:val="20"/>
                <w:lang w:eastAsia="ko-KR"/>
              </w:rPr>
              <w:t xml:space="preserve"> which controls how long the MAC entity considers the uplink transmission for CG-SDT to be uplink time aligned.</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The MAC entity shall:</w:t>
            </w:r>
          </w:p>
          <w:p>
            <w:pPr>
              <w:pStyle w:val="84"/>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lang w:eastAsia="ko-KR"/>
              </w:rPr>
              <w:t>1&gt;</w:t>
            </w:r>
            <w:r>
              <w:rPr>
                <w:rFonts w:ascii="Times New Roman" w:hAnsi="Times New Roman"/>
                <w:sz w:val="20"/>
                <w:szCs w:val="20"/>
              </w:rPr>
              <w:tab/>
            </w:r>
            <w:r>
              <w:rPr>
                <w:rFonts w:ascii="Times New Roman" w:hAnsi="Times New Roman"/>
                <w:sz w:val="20"/>
                <w:szCs w:val="20"/>
              </w:rPr>
              <w:t xml:space="preserve">when a Timing Advance Command MAC </w:t>
            </w:r>
            <w:r>
              <w:rPr>
                <w:rFonts w:ascii="Times New Roman" w:hAnsi="Times New Roman"/>
                <w:sz w:val="20"/>
                <w:szCs w:val="20"/>
                <w:lang w:eastAsia="ko-KR"/>
              </w:rPr>
              <w:t>CE</w:t>
            </w:r>
            <w:r>
              <w:rPr>
                <w:rFonts w:ascii="Times New Roman" w:hAnsi="Times New Roman"/>
                <w:sz w:val="20"/>
                <w:szCs w:val="20"/>
              </w:rPr>
              <w:t xml:space="preserve"> is received</w:t>
            </w:r>
            <w:r>
              <w:rPr>
                <w:rFonts w:ascii="Times New Roman" w:hAnsi="Times New Roman"/>
                <w:sz w:val="20"/>
                <w:szCs w:val="20"/>
                <w:lang w:eastAsia="ko-KR"/>
              </w:rPr>
              <w:t>, and if an N</w:t>
            </w:r>
            <w:r>
              <w:rPr>
                <w:rFonts w:ascii="Times New Roman" w:hAnsi="Times New Roman"/>
                <w:sz w:val="20"/>
                <w:szCs w:val="20"/>
                <w:vertAlign w:val="subscript"/>
                <w:lang w:eastAsia="ko-KR"/>
              </w:rPr>
              <w:t>TA</w:t>
            </w:r>
            <w:r>
              <w:rPr>
                <w:rFonts w:ascii="Times New Roman" w:hAnsi="Times New Roman"/>
                <w:sz w:val="20"/>
                <w:szCs w:val="20"/>
                <w:lang w:eastAsia="ko-KR"/>
              </w:rPr>
              <w:t xml:space="preserve"> (as defined in TS 38.211 [8]) has been maintained with the indicated TAG</w:t>
            </w:r>
            <w:r>
              <w:rPr>
                <w:rFonts w:ascii="Times New Roman" w:hAnsi="Times New Roman"/>
                <w:sz w:val="20"/>
                <w:szCs w:val="20"/>
              </w:rPr>
              <w:t>:</w:t>
            </w:r>
          </w:p>
          <w:p>
            <w:pPr>
              <w:pStyle w:val="79"/>
              <w:adjustRightInd w:val="0"/>
              <w:snapToGrid w:val="0"/>
              <w:spacing w:before="180" w:beforeLines="50" w:afterLines="50"/>
              <w:jc w:val="both"/>
            </w:pPr>
            <w:r>
              <w:rPr>
                <w:lang w:eastAsia="ko-KR"/>
              </w:rPr>
              <w:t>2&gt;</w:t>
            </w:r>
            <w:r>
              <w:tab/>
            </w:r>
            <w:r>
              <w:t>apply the Timing Advance Command for the indicated TAG;</w:t>
            </w:r>
          </w:p>
          <w:p>
            <w:pPr>
              <w:pStyle w:val="79"/>
              <w:adjustRightInd w:val="0"/>
              <w:snapToGrid w:val="0"/>
              <w:spacing w:before="180" w:beforeLines="50" w:afterLines="50"/>
              <w:jc w:val="both"/>
              <w:rPr>
                <w:lang w:eastAsia="zh-CN"/>
              </w:rPr>
            </w:pPr>
            <w:r>
              <w:rPr>
                <w:lang w:eastAsia="ko-KR"/>
              </w:rPr>
              <w:t>2&gt;</w:t>
            </w:r>
            <w:r>
              <w:rPr>
                <w:lang w:eastAsia="ko-KR"/>
              </w:rPr>
              <w:tab/>
            </w:r>
            <w:r>
              <w:rPr>
                <w:lang w:eastAsia="ko-KR"/>
              </w:rPr>
              <w:t xml:space="preserve">if </w:t>
            </w:r>
            <w:r>
              <w:rPr>
                <w:lang w:eastAsia="zh-CN"/>
              </w:rPr>
              <w:t>there is ongoing Positioning SRS Transmission in RRC_INACTIVE as in clause 5.26:</w:t>
            </w:r>
          </w:p>
          <w:p>
            <w:pPr>
              <w:pStyle w:val="79"/>
              <w:adjustRightInd w:val="0"/>
              <w:snapToGrid w:val="0"/>
              <w:spacing w:before="180" w:beforeLines="50" w:afterLines="50"/>
              <w:ind w:firstLine="0"/>
              <w:jc w:val="both"/>
              <w:rPr>
                <w:lang w:eastAsia="zh-CN"/>
              </w:rPr>
            </w:pPr>
            <w:r>
              <w:rPr>
                <w:lang w:eastAsia="ko-KR"/>
              </w:rPr>
              <w:t>3&gt;</w:t>
            </w:r>
            <w:r>
              <w:rPr>
                <w:lang w:eastAsia="ko-KR"/>
              </w:rPr>
              <w:tab/>
            </w:r>
            <w:r>
              <w:rPr>
                <w:lang w:eastAsia="zh-CN"/>
              </w:rPr>
              <w:t xml:space="preserve">start or restart the </w:t>
            </w:r>
            <w:r>
              <w:rPr>
                <w:i/>
                <w:lang w:eastAsia="zh-CN"/>
              </w:rPr>
              <w:t>inactivePosSRS-TimeAlignmentTimer</w:t>
            </w:r>
            <w:r>
              <w:rPr>
                <w:iCs/>
                <w:lang w:eastAsia="zh-CN"/>
              </w:rPr>
              <w:t xml:space="preserve"> </w:t>
            </w:r>
            <w:r>
              <w:t>associated with the indicated TAG</w:t>
            </w:r>
            <w:r>
              <w:rPr>
                <w:lang w:eastAsia="zh-CN"/>
              </w:rPr>
              <w:t>.</w:t>
            </w:r>
          </w:p>
          <w:p>
            <w:pPr>
              <w:pStyle w:val="79"/>
              <w:adjustRightInd w:val="0"/>
              <w:snapToGrid w:val="0"/>
              <w:spacing w:before="180" w:beforeLines="50" w:afterLines="50"/>
              <w:jc w:val="both"/>
              <w:rPr>
                <w:lang w:eastAsia="zh-CN"/>
              </w:rPr>
            </w:pPr>
            <w:r>
              <w:rPr>
                <w:lang w:eastAsia="ko-KR"/>
              </w:rPr>
              <w:t>2&gt;</w:t>
            </w:r>
            <w:r>
              <w:rPr>
                <w:lang w:eastAsia="ko-KR"/>
              </w:rPr>
              <w:tab/>
            </w:r>
            <w:r>
              <w:rPr>
                <w:lang w:eastAsia="ko-KR"/>
              </w:rPr>
              <w:t xml:space="preserve">if </w:t>
            </w:r>
            <w:r>
              <w:rPr>
                <w:lang w:eastAsia="zh-CN"/>
              </w:rPr>
              <w:t>CG-SDT procedure triggered as in clause 5.27 is ongoing:</w:t>
            </w:r>
          </w:p>
          <w:p>
            <w:pPr>
              <w:pStyle w:val="80"/>
              <w:adjustRightInd w:val="0"/>
              <w:snapToGrid w:val="0"/>
              <w:spacing w:before="180" w:beforeLines="50" w:afterLines="50"/>
              <w:jc w:val="both"/>
              <w:rPr>
                <w:lang w:eastAsia="zh-CN"/>
              </w:rPr>
            </w:pPr>
            <w:r>
              <w:rPr>
                <w:lang w:eastAsia="ko-KR"/>
              </w:rPr>
              <w:t>3&gt;</w:t>
            </w:r>
            <w:r>
              <w:rPr>
                <w:lang w:eastAsia="ko-KR"/>
              </w:rPr>
              <w:tab/>
            </w:r>
            <w:r>
              <w:rPr>
                <w:lang w:eastAsia="zh-CN"/>
              </w:rPr>
              <w:t xml:space="preserve">start or restart the </w:t>
            </w:r>
            <w:r>
              <w:rPr>
                <w:i/>
                <w:lang w:eastAsia="zh-CN"/>
              </w:rPr>
              <w:t>cg-SDT-TimeAlignmentTimer</w:t>
            </w:r>
            <w:r>
              <w:rPr>
                <w:iCs/>
                <w:lang w:eastAsia="zh-CN"/>
              </w:rPr>
              <w:t xml:space="preserve"> </w:t>
            </w:r>
            <w:r>
              <w:rPr>
                <w:lang w:eastAsia="zh-CN"/>
              </w:rPr>
              <w:t>associated with the indicated TAG.</w:t>
            </w:r>
          </w:p>
          <w:p>
            <w:pPr>
              <w:pStyle w:val="79"/>
              <w:adjustRightInd w:val="0"/>
              <w:snapToGrid w:val="0"/>
              <w:spacing w:before="180" w:beforeLines="50" w:afterLines="50"/>
              <w:jc w:val="both"/>
              <w:rPr>
                <w:lang w:eastAsia="ko-KR"/>
              </w:rPr>
            </w:pPr>
            <w:r>
              <w:rPr>
                <w:lang w:eastAsia="ko-KR"/>
              </w:rPr>
              <w:t>2&gt;</w:t>
            </w:r>
            <w:r>
              <w:rPr>
                <w:lang w:eastAsia="ko-KR"/>
              </w:rPr>
              <w:tab/>
            </w:r>
            <w:r>
              <w:rPr>
                <w:lang w:eastAsia="ko-KR"/>
              </w:rPr>
              <w:t>else:</w:t>
            </w:r>
          </w:p>
          <w:p>
            <w:pPr>
              <w:pStyle w:val="80"/>
              <w:adjustRightInd w:val="0"/>
              <w:snapToGrid w:val="0"/>
              <w:spacing w:before="180" w:beforeLines="50" w:afterLines="50"/>
              <w:jc w:val="both"/>
              <w:rPr>
                <w:lang w:eastAsia="ko-KR"/>
              </w:rPr>
            </w:pPr>
            <w:r>
              <w:rPr>
                <w:lang w:eastAsia="ko-KR"/>
              </w:rPr>
              <w:t>3&gt;</w:t>
            </w:r>
            <w:r>
              <w:tab/>
            </w:r>
            <w:r>
              <w:t xml:space="preserve">start or restart the </w:t>
            </w:r>
            <w:r>
              <w:rPr>
                <w:i/>
              </w:rPr>
              <w:t>timeAlignmentTimer</w:t>
            </w:r>
            <w:r>
              <w:t xml:space="preserve"> associated with the indicated TAG</w:t>
            </w:r>
            <w:r>
              <w:rPr>
                <w:lang w:eastAsia="ko-KR"/>
              </w:rPr>
              <w:t>.</w:t>
            </w:r>
          </w:p>
          <w:p>
            <w:pPr>
              <w:adjustRightInd w:val="0"/>
              <w:snapToGrid w:val="0"/>
              <w:spacing w:before="180" w:beforeLines="50" w:after="180" w:afterLines="50" w:line="240" w:lineRule="auto"/>
              <w:jc w:val="center"/>
              <w:rPr>
                <w:rFonts w:ascii="Times New Roman" w:hAnsi="Times New Roman"/>
                <w:sz w:val="20"/>
                <w:szCs w:val="20"/>
              </w:rPr>
            </w:pPr>
            <w:r>
              <w:rPr>
                <w:rFonts w:ascii="Times New Roman" w:hAnsi="Times New Roman"/>
                <w:color w:val="C00000"/>
                <w:sz w:val="20"/>
                <w:szCs w:val="20"/>
              </w:rPr>
              <w:t>---UNRELATED PART OMITTED---</w:t>
            </w:r>
          </w:p>
          <w:p>
            <w:pPr>
              <w:autoSpaceDE w:val="0"/>
              <w:autoSpaceDN w:val="0"/>
              <w:adjustRightInd w:val="0"/>
              <w:snapToGrid w:val="0"/>
              <w:spacing w:before="180" w:beforeLines="50" w:after="180" w:afterLines="50" w:line="240" w:lineRule="auto"/>
              <w:jc w:val="both"/>
              <w:rPr>
                <w:rFonts w:ascii="Times New Roman" w:hAnsi="Times New Roman"/>
                <w:snapToGrid w:val="0"/>
                <w:sz w:val="20"/>
              </w:rPr>
            </w:pPr>
            <w:r>
              <w:rPr>
                <w:rFonts w:ascii="Times New Roman" w:hAnsi="Times New Roman"/>
                <w:b/>
                <w:sz w:val="20"/>
                <w:szCs w:val="20"/>
                <w:u w:val="single"/>
              </w:rPr>
              <w:t>TS 38.321 5.26 Positioning SRS transmission in RRC_INACTIVE:</w:t>
            </w:r>
          </w:p>
          <w:p>
            <w:pPr>
              <w:adjustRightInd w:val="0"/>
              <w:snapToGrid w:val="0"/>
              <w:spacing w:before="180" w:beforeLines="50" w:after="180" w:afterLines="50" w:line="240" w:lineRule="auto"/>
              <w:jc w:val="both"/>
              <w:rPr>
                <w:rFonts w:ascii="Times New Roman" w:hAnsi="Times New Roman"/>
                <w:sz w:val="20"/>
                <w:szCs w:val="20"/>
                <w:lang w:eastAsia="ko-KR"/>
              </w:rPr>
            </w:pPr>
            <w:bookmarkStart w:id="14" w:name="_Hlk95993306"/>
            <w:r>
              <w:rPr>
                <w:rFonts w:ascii="Times New Roman" w:hAnsi="Times New Roman"/>
                <w:sz w:val="20"/>
                <w:szCs w:val="20"/>
                <w:lang w:eastAsia="ko-KR"/>
              </w:rPr>
              <w:t>RRC configures the following parameters for validation for SRS transmission in RRC_INACTIVE:</w:t>
            </w:r>
          </w:p>
          <w:p>
            <w:pPr>
              <w:pStyle w:val="84"/>
              <w:adjustRightInd w:val="0"/>
              <w:snapToGrid w:val="0"/>
              <w:spacing w:before="180" w:beforeLines="50" w:after="180" w:afterLines="50" w:line="240" w:lineRule="auto"/>
              <w:jc w:val="both"/>
              <w:rPr>
                <w:rFonts w:ascii="Times New Roman" w:hAnsi="Times New Roman"/>
                <w:sz w:val="20"/>
                <w:szCs w:val="20"/>
                <w:lang w:eastAsia="ko-KR"/>
              </w:rPr>
            </w:pPr>
            <w:r>
              <w:rPr>
                <w:rFonts w:ascii="Times New Roman" w:hAnsi="Times New Roman"/>
                <w:sz w:val="20"/>
                <w:szCs w:val="20"/>
                <w:lang w:eastAsia="ko-KR"/>
              </w:rPr>
              <w:t>-</w:t>
            </w:r>
            <w:r>
              <w:rPr>
                <w:rFonts w:ascii="Times New Roman" w:hAnsi="Times New Roman"/>
                <w:sz w:val="20"/>
                <w:szCs w:val="20"/>
                <w:lang w:eastAsia="ko-KR"/>
              </w:rPr>
              <w:tab/>
            </w:r>
            <w:r>
              <w:rPr>
                <w:rFonts w:ascii="Times New Roman" w:hAnsi="Times New Roman"/>
                <w:i/>
                <w:iCs/>
                <w:sz w:val="20"/>
                <w:szCs w:val="20"/>
                <w:lang w:eastAsia="ko-KR"/>
              </w:rPr>
              <w:t>inactivePosSRS-RSRP-ChangeThreshold</w:t>
            </w:r>
            <w:r>
              <w:rPr>
                <w:rFonts w:ascii="Times New Roman" w:hAnsi="Times New Roman"/>
                <w:sz w:val="20"/>
                <w:szCs w:val="20"/>
                <w:lang w:eastAsia="ko-KR"/>
              </w:rPr>
              <w:t>: RSRP threshold for the increase/decrease of RSRP for time alignment validation.</w:t>
            </w:r>
          </w:p>
          <w:p>
            <w:pPr>
              <w:adjustRightInd w:val="0"/>
              <w:snapToGrid w:val="0"/>
              <w:spacing w:before="180" w:beforeLines="50" w:after="180" w:afterLines="50" w:line="240" w:lineRule="auto"/>
              <w:jc w:val="both"/>
              <w:rPr>
                <w:rFonts w:ascii="Times New Roman" w:hAnsi="Times New Roman" w:eastAsia="等线"/>
                <w:sz w:val="20"/>
                <w:szCs w:val="20"/>
              </w:rPr>
            </w:pPr>
            <w:r>
              <w:rPr>
                <w:rFonts w:ascii="Times New Roman" w:hAnsi="Times New Roman" w:eastAsia="等线"/>
                <w:sz w:val="20"/>
                <w:szCs w:val="20"/>
              </w:rPr>
              <w:t>The MAC entity shall:</w:t>
            </w:r>
          </w:p>
          <w:p>
            <w:pPr>
              <w:pStyle w:val="84"/>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1&gt;</w:t>
            </w:r>
            <w:r>
              <w:rPr>
                <w:rFonts w:ascii="Times New Roman" w:hAnsi="Times New Roman"/>
                <w:sz w:val="20"/>
                <w:szCs w:val="20"/>
              </w:rPr>
              <w:tab/>
            </w:r>
            <w:r>
              <w:rPr>
                <w:rFonts w:ascii="Times New Roman" w:hAnsi="Times New Roman"/>
                <w:sz w:val="20"/>
                <w:szCs w:val="20"/>
              </w:rPr>
              <w:t xml:space="preserve">if the UE receives configuration for </w:t>
            </w:r>
            <w:r>
              <w:rPr>
                <w:rFonts w:ascii="Times New Roman" w:hAnsi="Times New Roman" w:eastAsia="等线"/>
                <w:sz w:val="20"/>
                <w:szCs w:val="20"/>
              </w:rPr>
              <w:t>SRS transmission in RRC_INACTIVE</w:t>
            </w:r>
            <w:r>
              <w:rPr>
                <w:rFonts w:ascii="Times New Roman" w:hAnsi="Times New Roman"/>
                <w:sz w:val="20"/>
                <w:szCs w:val="20"/>
              </w:rPr>
              <w:t>:</w:t>
            </w:r>
          </w:p>
          <w:p>
            <w:pPr>
              <w:pStyle w:val="79"/>
              <w:adjustRightInd w:val="0"/>
              <w:snapToGrid w:val="0"/>
              <w:spacing w:before="180" w:beforeLines="50" w:afterLines="50"/>
              <w:jc w:val="both"/>
              <w:rPr>
                <w:lang w:eastAsia="zh-CN"/>
              </w:rPr>
            </w:pPr>
            <w:r>
              <w:rPr>
                <w:lang w:eastAsia="zh-CN"/>
              </w:rPr>
              <w:t>2&gt;</w:t>
            </w:r>
            <w:r>
              <w:rPr>
                <w:lang w:eastAsia="zh-CN"/>
              </w:rPr>
              <w:tab/>
            </w:r>
            <w:r>
              <w:rPr>
                <w:lang w:eastAsia="zh-CN"/>
              </w:rPr>
              <w:t xml:space="preserve">store the RSRP of the downlink pathloss reference </w:t>
            </w:r>
            <w:r>
              <w:t>with the current RSRP value of the downlink pathloss reference as in TS 38.331 [5].</w:t>
            </w:r>
          </w:p>
          <w:p>
            <w:pPr>
              <w:pStyle w:val="84"/>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1&gt;</w:t>
            </w:r>
            <w:r>
              <w:rPr>
                <w:rFonts w:ascii="Times New Roman" w:hAnsi="Times New Roman"/>
                <w:sz w:val="20"/>
                <w:szCs w:val="20"/>
              </w:rPr>
              <w:tab/>
            </w:r>
            <w:r>
              <w:rPr>
                <w:rFonts w:ascii="Times New Roman" w:hAnsi="Times New Roman"/>
                <w:sz w:val="20"/>
                <w:szCs w:val="20"/>
              </w:rPr>
              <w:t>else if the UE is configured with SRS transmission in RRC_INACTIVE:</w:t>
            </w:r>
          </w:p>
          <w:p>
            <w:pPr>
              <w:pStyle w:val="79"/>
              <w:adjustRightInd w:val="0"/>
              <w:snapToGrid w:val="0"/>
              <w:spacing w:before="180" w:beforeLines="50" w:afterLines="50"/>
              <w:jc w:val="both"/>
              <w:rPr>
                <w:lang w:eastAsia="zh-CN"/>
              </w:rPr>
            </w:pPr>
            <w:r>
              <w:rPr>
                <w:lang w:eastAsia="zh-CN"/>
              </w:rPr>
              <w:t>2&gt;</w:t>
            </w:r>
            <w:r>
              <w:rPr>
                <w:lang w:eastAsia="zh-CN"/>
              </w:rPr>
              <w:tab/>
            </w:r>
            <w:r>
              <w:rPr>
                <w:lang w:eastAsia="zh-CN"/>
              </w:rPr>
              <w:t>if</w:t>
            </w:r>
            <w:r>
              <w:t xml:space="preserve"> Timing Advance Command MAC CE</w:t>
            </w:r>
            <w:r>
              <w:rPr>
                <w:lang w:eastAsia="zh-CN"/>
              </w:rPr>
              <w:t xml:space="preserve"> is received for </w:t>
            </w:r>
            <w:r>
              <w:rPr>
                <w:i/>
                <w:lang w:eastAsia="zh-CN"/>
              </w:rPr>
              <w:t>inactivePosSRS-TimeAlignmentTimer</w:t>
            </w:r>
            <w:r>
              <w:rPr>
                <w:lang w:eastAsia="zh-CN"/>
              </w:rPr>
              <w:t xml:space="preserve"> as in clause 5.2, or;</w:t>
            </w:r>
          </w:p>
          <w:p>
            <w:pPr>
              <w:pStyle w:val="79"/>
              <w:adjustRightInd w:val="0"/>
              <w:snapToGrid w:val="0"/>
              <w:spacing w:before="180" w:beforeLines="50" w:afterLines="50"/>
              <w:jc w:val="both"/>
              <w:rPr>
                <w:lang w:eastAsia="zh-CN"/>
              </w:rPr>
            </w:pPr>
            <w:r>
              <w:rPr>
                <w:lang w:eastAsia="zh-CN"/>
              </w:rPr>
              <w:t>2&gt;</w:t>
            </w:r>
            <w:r>
              <w:rPr>
                <w:lang w:eastAsia="zh-CN"/>
              </w:rPr>
              <w:tab/>
            </w:r>
            <w:r>
              <w:rPr>
                <w:lang w:eastAsia="zh-CN"/>
              </w:rPr>
              <w:t>if Timing Advance Command or Absolute Timing Advance Command is received for Random Access procedure that is successfully completed:</w:t>
            </w:r>
          </w:p>
          <w:p>
            <w:pPr>
              <w:pStyle w:val="80"/>
              <w:adjustRightInd w:val="0"/>
              <w:snapToGrid w:val="0"/>
              <w:spacing w:before="180" w:beforeLines="50" w:afterLines="50"/>
              <w:jc w:val="both"/>
              <w:rPr>
                <w:rFonts w:eastAsia="等线"/>
                <w:lang w:eastAsia="zh-CN"/>
              </w:rPr>
            </w:pPr>
            <w:r>
              <w:rPr>
                <w:lang w:eastAsia="zh-CN"/>
              </w:rPr>
              <w:t>3&gt;</w:t>
            </w:r>
            <w:r>
              <w:rPr>
                <w:lang w:eastAsia="zh-CN"/>
              </w:rPr>
              <w:tab/>
            </w:r>
            <w:r>
              <w:rPr>
                <w:lang w:eastAsia="zh-CN"/>
              </w:rPr>
              <w:t>update the stored downlink pathloss reference with the current RSRP value of the downlink pathloss reference.</w:t>
            </w:r>
          </w:p>
          <w:p>
            <w:pPr>
              <w:adjustRightInd w:val="0"/>
              <w:snapToGrid w:val="0"/>
              <w:spacing w:before="180" w:beforeLines="50" w:after="180" w:afterLines="50" w:line="240" w:lineRule="auto"/>
              <w:jc w:val="both"/>
              <w:rPr>
                <w:rFonts w:ascii="Times New Roman" w:hAnsi="Times New Roman" w:eastAsia="等线"/>
                <w:sz w:val="20"/>
                <w:szCs w:val="20"/>
              </w:rPr>
            </w:pPr>
            <w:r>
              <w:rPr>
                <w:rFonts w:ascii="Times New Roman" w:hAnsi="Times New Roman" w:eastAsia="等线"/>
                <w:sz w:val="20"/>
                <w:szCs w:val="20"/>
              </w:rPr>
              <w:t>The MAC entity shall consider the TA to be valid when the following condition is fulfilled:</w:t>
            </w:r>
          </w:p>
          <w:p>
            <w:pPr>
              <w:pStyle w:val="84"/>
              <w:adjustRightInd w:val="0"/>
              <w:snapToGrid w:val="0"/>
              <w:spacing w:before="180" w:beforeLines="50" w:after="180" w:afterLines="50" w:line="240" w:lineRule="auto"/>
              <w:jc w:val="both"/>
              <w:rPr>
                <w:rFonts w:ascii="Times New Roman" w:hAnsi="Times New Roman" w:eastAsia="等线"/>
                <w:sz w:val="20"/>
                <w:szCs w:val="20"/>
              </w:rPr>
            </w:pPr>
            <w:r>
              <w:rPr>
                <w:rFonts w:ascii="Times New Roman" w:hAnsi="Times New Roman" w:eastAsia="等线"/>
                <w:sz w:val="20"/>
                <w:szCs w:val="20"/>
              </w:rPr>
              <w:t>1&gt;</w:t>
            </w:r>
            <w:r>
              <w:rPr>
                <w:rFonts w:ascii="Times New Roman" w:hAnsi="Times New Roman" w:eastAsia="等线"/>
                <w:sz w:val="20"/>
                <w:szCs w:val="20"/>
              </w:rPr>
              <w:tab/>
            </w:r>
            <w:r>
              <w:rPr>
                <w:rFonts w:ascii="Times New Roman" w:hAnsi="Times New Roman" w:eastAsia="等线"/>
                <w:sz w:val="20"/>
                <w:szCs w:val="20"/>
              </w:rPr>
              <w:t>compared to the stored downlink pathloss reference RSRP value, the current RSRP value of the downlink pathloss reference has not increased/decreased by more than</w:t>
            </w:r>
            <w:r>
              <w:rPr>
                <w:rFonts w:ascii="Times New Roman" w:hAnsi="Times New Roman" w:eastAsia="等线"/>
                <w:iCs/>
                <w:sz w:val="20"/>
                <w:szCs w:val="20"/>
              </w:rPr>
              <w:t xml:space="preserve"> </w:t>
            </w:r>
            <w:r>
              <w:rPr>
                <w:rFonts w:ascii="Times New Roman" w:hAnsi="Times New Roman"/>
                <w:i/>
                <w:sz w:val="20"/>
                <w:szCs w:val="20"/>
              </w:rPr>
              <w:t>inactivePosSRS</w:t>
            </w:r>
            <w:r>
              <w:rPr>
                <w:rFonts w:ascii="Times New Roman" w:hAnsi="Times New Roman" w:eastAsia="等线"/>
                <w:i/>
                <w:sz w:val="20"/>
                <w:szCs w:val="20"/>
              </w:rPr>
              <w:t>-RSRP-ChangeThreshold</w:t>
            </w:r>
            <w:r>
              <w:rPr>
                <w:rFonts w:ascii="Times New Roman" w:hAnsi="Times New Roman" w:eastAsia="等线"/>
                <w:sz w:val="20"/>
                <w:szCs w:val="20"/>
              </w:rPr>
              <w:t>, if configured; and</w:t>
            </w:r>
          </w:p>
          <w:p>
            <w:pPr>
              <w:pStyle w:val="84"/>
              <w:adjustRightInd w:val="0"/>
              <w:snapToGrid w:val="0"/>
              <w:spacing w:before="180" w:beforeLines="50" w:after="180" w:afterLines="50" w:line="240" w:lineRule="auto"/>
              <w:jc w:val="both"/>
              <w:rPr>
                <w:rFonts w:ascii="Times New Roman" w:hAnsi="Times New Roman"/>
                <w:sz w:val="20"/>
                <w:szCs w:val="20"/>
                <w:highlight w:val="yellow"/>
                <w:lang w:eastAsia="ko-KR"/>
              </w:rPr>
            </w:pPr>
            <w:r>
              <w:rPr>
                <w:rFonts w:ascii="Times New Roman" w:hAnsi="Times New Roman" w:eastAsia="等线"/>
                <w:sz w:val="20"/>
                <w:szCs w:val="20"/>
              </w:rPr>
              <w:t>1&gt;</w:t>
            </w:r>
            <w:r>
              <w:rPr>
                <w:rFonts w:ascii="Times New Roman" w:hAnsi="Times New Roman" w:eastAsia="等线"/>
                <w:sz w:val="20"/>
                <w:szCs w:val="20"/>
              </w:rPr>
              <w:tab/>
            </w:r>
            <w:r>
              <w:rPr>
                <w:rFonts w:ascii="Times New Roman" w:hAnsi="Times New Roman" w:eastAsia="等线"/>
                <w:i/>
                <w:iCs/>
                <w:sz w:val="20"/>
                <w:szCs w:val="20"/>
              </w:rPr>
              <w:t>inactivePosSRS-TimeAlignmentTimer</w:t>
            </w:r>
            <w:r>
              <w:rPr>
                <w:rFonts w:ascii="Times New Roman" w:hAnsi="Times New Roman" w:eastAsia="等线"/>
                <w:sz w:val="20"/>
                <w:szCs w:val="20"/>
              </w:rPr>
              <w:t xml:space="preserve"> is running.</w:t>
            </w:r>
            <w:bookmarkEnd w:id="14"/>
          </w:p>
        </w:tc>
      </w:tr>
    </w:tbl>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As described above, </w:t>
      </w:r>
      <w:r>
        <w:rPr>
          <w:rFonts w:hint="eastAsia" w:ascii="Times New Roman" w:hAnsi="Times New Roman"/>
          <w:sz w:val="20"/>
          <w:szCs w:val="20"/>
        </w:rPr>
        <w:t xml:space="preserve">the </w:t>
      </w:r>
      <w:r>
        <w:rPr>
          <w:rFonts w:ascii="Times New Roman" w:hAnsi="Times New Roman"/>
          <w:sz w:val="20"/>
          <w:szCs w:val="20"/>
        </w:rPr>
        <w:t xml:space="preserve">TA would be invalid when the volatility of pathloss reference RSRP is greater than the configured </w:t>
      </w:r>
      <w:r>
        <w:rPr>
          <w:rFonts w:ascii="Times New Roman" w:hAnsi="Times New Roman"/>
          <w:i/>
          <w:sz w:val="20"/>
          <w:szCs w:val="20"/>
        </w:rPr>
        <w:t>inactivePosSRS-RSRP-ChangeThreshold</w:t>
      </w:r>
      <w:r>
        <w:rPr>
          <w:rFonts w:ascii="Times New Roman" w:hAnsi="Times New Roman"/>
          <w:sz w:val="20"/>
          <w:szCs w:val="20"/>
        </w:rPr>
        <w:t>. And the pathloss reference RSRP may change rapidly when UE moves, especially when UE camps on a new cell. In current Rel-17 specification, UE may stop transmitting SRS if the TA valid criterion is not satisfied (</w:t>
      </w:r>
      <w:r>
        <w:rPr>
          <w:rFonts w:ascii="Times New Roman" w:hAnsi="Times New Roman"/>
          <w:i/>
          <w:sz w:val="20"/>
          <w:szCs w:val="20"/>
        </w:rPr>
        <w:t>inactivePosSRS-TimeAlignmentTimer</w:t>
      </w:r>
      <w:r>
        <w:rPr>
          <w:rFonts w:ascii="Times New Roman" w:hAnsi="Times New Roman"/>
          <w:sz w:val="20"/>
          <w:szCs w:val="20"/>
        </w:rPr>
        <w:t xml:space="preserve"> is expired or the RSRP difference of the RS beyond </w:t>
      </w:r>
      <w:r>
        <w:rPr>
          <w:rFonts w:ascii="Times New Roman" w:hAnsi="Times New Roman"/>
          <w:i/>
          <w:sz w:val="20"/>
          <w:szCs w:val="20"/>
        </w:rPr>
        <w:t>inactivePosSRS-RSRP-ChangeThreshold</w:t>
      </w:r>
      <w:r>
        <w:rPr>
          <w:rFonts w:ascii="Times New Roman" w:hAnsi="Times New Roman"/>
          <w:sz w:val="20"/>
          <w:szCs w:val="20"/>
        </w:rPr>
        <w:t xml:space="preserve">). Therefore, the TA valid criterion could be different across multiple cells for UE in RRC_INACTIVE state in Rel-18. </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Regarding the TA validation problem, the following proposal was agreed</w:t>
      </w:r>
      <w:r>
        <w:rPr>
          <w:rFonts w:ascii="Times New Roman" w:hAnsi="Times New Roman"/>
          <w:sz w:val="20"/>
          <w:szCs w:val="20"/>
        </w:rPr>
        <w:t xml:space="preserve"> in the last RAN1 meeting for Rel-18</w:t>
      </w:r>
      <w:r>
        <w:rPr>
          <w:rFonts w:hint="eastAsia" w:ascii="Times New Roman" w:hAnsi="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pStyle w:val="94"/>
              <w:snapToGrid w:val="0"/>
              <w:spacing w:afterLines="50" w:line="240" w:lineRule="auto"/>
              <w:ind w:left="0"/>
              <w:jc w:val="both"/>
              <w:rPr>
                <w:sz w:val="20"/>
                <w:lang w:eastAsia="zh-CN"/>
              </w:rPr>
            </w:pPr>
            <w:r>
              <w:rPr>
                <w:rFonts w:eastAsia="等线"/>
                <w:sz w:val="20"/>
                <w:lang w:eastAsia="zh-CN"/>
              </w:rPr>
              <w:t>From RAN1 perspective, it is feasible to configure SRS positioning validity area-specific TA timer (e.g., with larger values) for a UE in RRC_INACTIVE state. Details can be up to RAN2.</w:t>
            </w:r>
          </w:p>
          <w:p>
            <w:pPr>
              <w:numPr>
                <w:ilvl w:val="0"/>
                <w:numId w:val="4"/>
              </w:numPr>
              <w:adjustRightInd w:val="0"/>
              <w:snapToGrid w:val="0"/>
              <w:spacing w:after="180" w:afterLines="50" w:line="240" w:lineRule="auto"/>
              <w:ind w:hanging="363"/>
              <w:contextualSpacing/>
              <w:jc w:val="both"/>
              <w:rPr>
                <w:rFonts w:ascii="Times New Roman" w:hAnsi="Times New Roman" w:eastAsia="宋体"/>
                <w:sz w:val="20"/>
                <w:szCs w:val="20"/>
              </w:rPr>
            </w:pPr>
            <w:r>
              <w:rPr>
                <w:rFonts w:ascii="Times New Roman" w:hAnsi="Times New Roman" w:eastAsia="宋体"/>
                <w:sz w:val="20"/>
                <w:szCs w:val="20"/>
              </w:rPr>
              <w:t>For TA validation, use of area-specific RSRP change threshold is feasible</w:t>
            </w:r>
          </w:p>
          <w:p>
            <w:pPr>
              <w:adjustRightInd w:val="0"/>
              <w:snapToGrid w:val="0"/>
              <w:spacing w:after="0" w:line="240" w:lineRule="auto"/>
              <w:ind w:firstLine="1200" w:firstLineChars="600"/>
              <w:rPr>
                <w:rFonts w:ascii="Times New Roman" w:hAnsi="Times New Roman"/>
                <w:sz w:val="20"/>
                <w:szCs w:val="20"/>
              </w:rPr>
            </w:pPr>
            <w:r>
              <w:rPr>
                <w:rFonts w:ascii="Times New Roman" w:hAnsi="Times New Roman" w:eastAsia="宋体"/>
                <w:sz w:val="20"/>
                <w:szCs w:val="20"/>
              </w:rPr>
              <w:t>FFS: which RS is the reference RS for the RSRP change threshold</w:t>
            </w:r>
          </w:p>
        </w:tc>
      </w:tr>
    </w:tbl>
    <w:p>
      <w:pPr>
        <w:adjustRightInd w:val="0"/>
        <w:snapToGrid w:val="0"/>
        <w:spacing w:before="180" w:beforeLines="50" w:after="180" w:afterLines="50" w:line="240" w:lineRule="auto"/>
        <w:jc w:val="both"/>
        <w:rPr>
          <w:rFonts w:ascii="Times New Roman" w:hAnsi="Times New Roman"/>
          <w:sz w:val="20"/>
          <w:szCs w:val="20"/>
        </w:rPr>
      </w:pPr>
      <w:bookmarkStart w:id="15" w:name="_Ref32193"/>
      <w:r>
        <w:rPr>
          <w:rFonts w:hint="eastAsia" w:ascii="Times New Roman" w:hAnsi="Times New Roman"/>
          <w:sz w:val="20"/>
          <w:szCs w:val="20"/>
        </w:rPr>
        <w:t>In current Rel-17 specification, the pathloss reference for TA validation of SRS for positioning transmission is derived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after="0" w:line="240" w:lineRule="auto"/>
              <w:rPr>
                <w:rFonts w:ascii="Times New Roman" w:hAnsi="Times New Roman"/>
                <w:b/>
                <w:sz w:val="20"/>
                <w:szCs w:val="20"/>
                <w:u w:val="single"/>
              </w:rPr>
            </w:pPr>
            <w:bookmarkStart w:id="16" w:name="_Toc124712882"/>
            <w:r>
              <w:rPr>
                <w:rFonts w:hint="eastAsia" w:ascii="Times New Roman" w:hAnsi="Times New Roman"/>
                <w:b/>
                <w:sz w:val="20"/>
                <w:szCs w:val="20"/>
                <w:u w:val="single"/>
              </w:rPr>
              <w:t xml:space="preserve">TS 38.331 5.7.17 </w:t>
            </w:r>
            <w:r>
              <w:rPr>
                <w:rFonts w:ascii="Times New Roman" w:hAnsi="Times New Roman"/>
                <w:b/>
                <w:sz w:val="20"/>
                <w:szCs w:val="20"/>
                <w:u w:val="single"/>
              </w:rPr>
              <w:t>Derivation of pathloss reference for TA validation of SRS for Positioning transmission and CG-SDT in RRC_INACTIV</w:t>
            </w:r>
            <w:r>
              <w:rPr>
                <w:rFonts w:hint="eastAsia" w:ascii="Times New Roman" w:hAnsi="Times New Roman"/>
                <w:b/>
                <w:sz w:val="20"/>
                <w:szCs w:val="20"/>
                <w:u w:val="single"/>
              </w:rPr>
              <w:t>E</w:t>
            </w:r>
          </w:p>
          <w:p>
            <w:pPr>
              <w:adjustRightInd w:val="0"/>
              <w:snapToGrid w:val="0"/>
              <w:spacing w:after="0" w:line="240" w:lineRule="auto"/>
              <w:rPr>
                <w:rFonts w:ascii="Times New Roman" w:hAnsi="Times New Roman"/>
                <w:b/>
                <w:sz w:val="20"/>
                <w:szCs w:val="20"/>
                <w:u w:val="single"/>
              </w:rPr>
            </w:pPr>
          </w:p>
          <w:p>
            <w:pPr>
              <w:adjustRightInd w:val="0"/>
              <w:snapToGrid w:val="0"/>
              <w:spacing w:after="180" w:afterLines="50" w:line="240" w:lineRule="auto"/>
              <w:rPr>
                <w:rFonts w:ascii="Times New Roman" w:hAnsi="Times New Roman" w:eastAsia="等线"/>
                <w:sz w:val="20"/>
                <w:szCs w:val="20"/>
              </w:rPr>
            </w:pPr>
            <w:r>
              <w:rPr>
                <w:rFonts w:ascii="Times New Roman" w:hAnsi="Times New Roman" w:eastAsia="等线"/>
                <w:sz w:val="20"/>
                <w:szCs w:val="20"/>
              </w:rPr>
              <w:t>Upon request from lower layer for pathloss reference derivation for TA validation for SRS for Positioning transmission or CG-SDT in RRC_INACTIVE, the UE shall:</w:t>
            </w:r>
          </w:p>
          <w:p>
            <w:pPr>
              <w:pStyle w:val="84"/>
              <w:adjustRightInd w:val="0"/>
              <w:snapToGrid w:val="0"/>
              <w:spacing w:after="180" w:afterLines="50" w:line="240" w:lineRule="auto"/>
              <w:rPr>
                <w:rFonts w:ascii="Times New Roman" w:hAnsi="Times New Roman"/>
                <w:sz w:val="20"/>
                <w:szCs w:val="20"/>
              </w:rPr>
            </w:pPr>
            <w:r>
              <w:rPr>
                <w:rFonts w:ascii="Times New Roman" w:hAnsi="Times New Roman"/>
                <w:sz w:val="20"/>
                <w:szCs w:val="20"/>
              </w:rPr>
              <w:t>1&gt;</w:t>
            </w:r>
            <w:r>
              <w:rPr>
                <w:rFonts w:ascii="Times New Roman" w:hAnsi="Times New Roman"/>
                <w:sz w:val="20"/>
                <w:szCs w:val="20"/>
              </w:rPr>
              <w:tab/>
            </w:r>
            <w:r>
              <w:rPr>
                <w:rFonts w:ascii="Times New Roman" w:hAnsi="Times New Roman"/>
                <w:sz w:val="20"/>
                <w:szCs w:val="20"/>
              </w:rPr>
              <w:t xml:space="preserve">acquire </w:t>
            </w:r>
            <w:r>
              <w:rPr>
                <w:rFonts w:ascii="Times New Roman" w:hAnsi="Times New Roman"/>
                <w:i/>
                <w:sz w:val="20"/>
                <w:szCs w:val="20"/>
              </w:rPr>
              <w:t xml:space="preserve">SIB2, </w:t>
            </w:r>
            <w:r>
              <w:rPr>
                <w:rFonts w:ascii="Times New Roman" w:hAnsi="Times New Roman"/>
                <w:sz w:val="20"/>
                <w:szCs w:val="20"/>
              </w:rPr>
              <w:t>if stored version is invalid;</w:t>
            </w:r>
          </w:p>
          <w:p>
            <w:pPr>
              <w:pStyle w:val="84"/>
              <w:adjustRightInd w:val="0"/>
              <w:snapToGrid w:val="0"/>
              <w:spacing w:after="180" w:afterLines="50" w:line="240" w:lineRule="auto"/>
              <w:rPr>
                <w:rFonts w:ascii="Times New Roman" w:hAnsi="Times New Roman"/>
                <w:sz w:val="20"/>
                <w:szCs w:val="20"/>
              </w:rPr>
            </w:pPr>
            <w:r>
              <w:rPr>
                <w:rFonts w:ascii="Times New Roman" w:hAnsi="Times New Roman"/>
                <w:sz w:val="20"/>
                <w:szCs w:val="20"/>
              </w:rPr>
              <w:t>1&gt;</w:t>
            </w:r>
            <w:r>
              <w:rPr>
                <w:rFonts w:ascii="Times New Roman" w:hAnsi="Times New Roman"/>
                <w:sz w:val="20"/>
                <w:szCs w:val="20"/>
              </w:rPr>
              <w:tab/>
            </w:r>
            <w:r>
              <w:rPr>
                <w:rFonts w:ascii="Times New Roman" w:hAnsi="Times New Roman"/>
                <w:sz w:val="20"/>
                <w:szCs w:val="20"/>
              </w:rPr>
              <w:t xml:space="preserve">if </w:t>
            </w:r>
            <w:r>
              <w:rPr>
                <w:rFonts w:ascii="Times New Roman" w:hAnsi="Times New Roman"/>
                <w:i/>
                <w:iCs/>
                <w:sz w:val="20"/>
                <w:szCs w:val="20"/>
              </w:rPr>
              <w:t>nrofSS-BlocksToAverage</w:t>
            </w:r>
            <w:r>
              <w:rPr>
                <w:rFonts w:ascii="Times New Roman" w:hAnsi="Times New Roman"/>
                <w:sz w:val="20"/>
                <w:szCs w:val="20"/>
              </w:rPr>
              <w:t xml:space="preserve"> or </w:t>
            </w:r>
            <w:r>
              <w:rPr>
                <w:rFonts w:ascii="Times New Roman" w:hAnsi="Times New Roman"/>
                <w:i/>
                <w:sz w:val="20"/>
                <w:szCs w:val="20"/>
              </w:rPr>
              <w:t>absThreshSS-BlocksConsolidation</w:t>
            </w:r>
            <w:r>
              <w:rPr>
                <w:rFonts w:ascii="Times New Roman" w:hAnsi="Times New Roman"/>
                <w:sz w:val="20"/>
                <w:szCs w:val="20"/>
              </w:rPr>
              <w:t xml:space="preserve"> is not present or if a</w:t>
            </w:r>
            <w:r>
              <w:rPr>
                <w:rFonts w:ascii="Times New Roman" w:hAnsi="Times New Roman"/>
                <w:i/>
                <w:sz w:val="20"/>
                <w:szCs w:val="20"/>
              </w:rPr>
              <w:t>bsThreshSS-BlocksConsolidation</w:t>
            </w:r>
            <w:r>
              <w:rPr>
                <w:rFonts w:ascii="Times New Roman" w:hAnsi="Times New Roman"/>
                <w:sz w:val="20"/>
                <w:szCs w:val="20"/>
              </w:rPr>
              <w:t xml:space="preserve"> is present and the highest beam measurement quantity value is below or equal to </w:t>
            </w:r>
            <w:r>
              <w:rPr>
                <w:rFonts w:ascii="Times New Roman" w:hAnsi="Times New Roman"/>
                <w:i/>
                <w:sz w:val="20"/>
                <w:szCs w:val="20"/>
              </w:rPr>
              <w:t>absThreshSS-BlocksConsolidation</w:t>
            </w:r>
            <w:r>
              <w:rPr>
                <w:rFonts w:ascii="Times New Roman" w:hAnsi="Times New Roman"/>
                <w:sz w:val="20"/>
                <w:szCs w:val="20"/>
              </w:rPr>
              <w:t>:</w:t>
            </w:r>
          </w:p>
          <w:p>
            <w:pPr>
              <w:pStyle w:val="79"/>
              <w:adjustRightInd w:val="0"/>
              <w:snapToGrid w:val="0"/>
              <w:spacing w:afterLines="50"/>
              <w:rPr>
                <w:rFonts w:eastAsia="等线"/>
                <w:lang w:eastAsia="zh-CN"/>
              </w:rPr>
            </w:pPr>
            <w:r>
              <w:rPr>
                <w:lang w:eastAsia="zh-CN"/>
              </w:rPr>
              <w:t>2&gt;</w:t>
            </w:r>
            <w:r>
              <w:rPr>
                <w:lang w:eastAsia="zh-CN"/>
              </w:rPr>
              <w:tab/>
            </w:r>
            <w:r>
              <w:rPr>
                <w:rFonts w:eastAsia="等线"/>
                <w:lang w:eastAsia="zh-CN"/>
              </w:rPr>
              <w:t>derive the downlink pathloss reference RSRP for TA validation as the highest beam measurement quantity value, where each beam measurement quantity is described in TS 38.215 [24];</w:t>
            </w:r>
          </w:p>
          <w:p>
            <w:pPr>
              <w:pStyle w:val="84"/>
              <w:adjustRightInd w:val="0"/>
              <w:snapToGrid w:val="0"/>
              <w:spacing w:after="180" w:afterLines="50" w:line="240" w:lineRule="auto"/>
              <w:rPr>
                <w:rFonts w:ascii="Times New Roman" w:hAnsi="Times New Roman"/>
                <w:sz w:val="20"/>
                <w:szCs w:val="20"/>
              </w:rPr>
            </w:pPr>
            <w:r>
              <w:rPr>
                <w:rFonts w:ascii="Times New Roman" w:hAnsi="Times New Roman"/>
                <w:sz w:val="20"/>
                <w:szCs w:val="20"/>
              </w:rPr>
              <w:t>1&gt;</w:t>
            </w:r>
            <w:r>
              <w:rPr>
                <w:rFonts w:ascii="Times New Roman" w:hAnsi="Times New Roman"/>
                <w:sz w:val="20"/>
                <w:szCs w:val="20"/>
              </w:rPr>
              <w:tab/>
            </w:r>
            <w:r>
              <w:rPr>
                <w:rFonts w:ascii="Times New Roman" w:hAnsi="Times New Roman"/>
                <w:sz w:val="20"/>
                <w:szCs w:val="20"/>
              </w:rPr>
              <w:t>else:</w:t>
            </w:r>
          </w:p>
          <w:p>
            <w:pPr>
              <w:pStyle w:val="79"/>
              <w:adjustRightInd w:val="0"/>
              <w:snapToGrid w:val="0"/>
              <w:spacing w:afterLines="50"/>
            </w:pPr>
            <w:r>
              <w:rPr>
                <w:rFonts w:eastAsia="等线"/>
                <w:lang w:eastAsia="zh-CN"/>
              </w:rPr>
              <w:t>2&gt;</w:t>
            </w:r>
            <w:r>
              <w:rPr>
                <w:rFonts w:eastAsia="等线"/>
                <w:lang w:eastAsia="zh-CN"/>
              </w:rPr>
              <w:tab/>
            </w:r>
            <w:r>
              <w:rPr>
                <w:rFonts w:eastAsia="等线"/>
                <w:lang w:eastAsia="zh-CN"/>
              </w:rPr>
              <w:t xml:space="preserve">derive the downlink pathloss reference RSRP for TA validation as the linear average of the power values of up to </w:t>
            </w:r>
            <w:r>
              <w:rPr>
                <w:rFonts w:eastAsia="等线"/>
                <w:i/>
                <w:lang w:eastAsia="zh-CN"/>
              </w:rPr>
              <w:t>nrofSS-BlocksToAverage</w:t>
            </w:r>
            <w:r>
              <w:rPr>
                <w:rFonts w:eastAsia="等线"/>
                <w:lang w:eastAsia="zh-CN"/>
              </w:rPr>
              <w:t xml:space="preserve"> of the highest beam measurement quantity values above </w:t>
            </w:r>
            <w:r>
              <w:rPr>
                <w:rFonts w:eastAsia="等线"/>
                <w:i/>
                <w:lang w:eastAsia="zh-CN"/>
              </w:rPr>
              <w:t>absThreshSS-BlocksConsolidation</w:t>
            </w:r>
            <w:r>
              <w:rPr>
                <w:rFonts w:eastAsia="等线"/>
                <w:lang w:eastAsia="zh-CN"/>
              </w:rPr>
              <w:t>, where each beam measurement quantity is described in TS 38.215 [24].</w:t>
            </w:r>
          </w:p>
        </w:tc>
      </w:tr>
    </w:tbl>
    <w:p>
      <w:pPr>
        <w:adjustRightInd w:val="0"/>
        <w:snapToGrid w:val="0"/>
        <w:spacing w:before="180" w:beforeLines="50" w:after="180" w:afterLines="50" w:line="240" w:lineRule="auto"/>
        <w:jc w:val="both"/>
      </w:pPr>
      <w:r>
        <w:rPr>
          <w:rFonts w:hint="eastAsia" w:ascii="Times New Roman" w:hAnsi="Times New Roman"/>
          <w:sz w:val="20"/>
          <w:szCs w:val="20"/>
        </w:rPr>
        <w:t>For TA validation, UE will store the RSRP of the measured pathloss reference. For example, if SSB with index 1 is selected as the pathloss reference when max(RSRP, SSB)&lt;</w:t>
      </w:r>
      <w:r>
        <w:rPr>
          <w:rFonts w:hint="eastAsia" w:ascii="Times New Roman" w:hAnsi="Times New Roman"/>
          <w:i/>
          <w:iCs/>
          <w:sz w:val="20"/>
          <w:szCs w:val="20"/>
        </w:rPr>
        <w:t>absThreshSS-BlocksConsolidation</w:t>
      </w:r>
      <w:r>
        <w:rPr>
          <w:rFonts w:hint="eastAsia" w:ascii="Times New Roman" w:hAnsi="Times New Roman"/>
          <w:sz w:val="20"/>
          <w:szCs w:val="20"/>
        </w:rPr>
        <w:t xml:space="preserve">, UE will measure the RSRP of SSB with index 1. The RSRP of SSB with index 1 will change as UE moves. Once the change of RSRP is greater than the configured threshold, UE will regard the current TA as invalid. However, in </w:t>
      </w:r>
      <w:r>
        <w:rPr>
          <w:rFonts w:ascii="Times New Roman" w:hAnsi="Times New Roman"/>
          <w:sz w:val="20"/>
          <w:szCs w:val="20"/>
        </w:rPr>
        <w:t xml:space="preserve">SRS configuration validity area, UE might move to different cells, </w:t>
      </w:r>
      <w:r>
        <w:rPr>
          <w:rFonts w:hint="eastAsia" w:ascii="Times New Roman" w:hAnsi="Times New Roman"/>
          <w:sz w:val="20"/>
          <w:szCs w:val="20"/>
        </w:rPr>
        <w:t xml:space="preserve">so </w:t>
      </w:r>
      <w:r>
        <w:rPr>
          <w:rFonts w:ascii="Times New Roman" w:hAnsi="Times New Roman"/>
          <w:sz w:val="20"/>
          <w:szCs w:val="20"/>
        </w:rPr>
        <w:t>it is necessary to specify the RSRP change definition, i.e., the FFS left in the agreement, which RS is the reference RS for the calculation of RSRP change. In the following discussion</w:t>
      </w:r>
      <w:r>
        <w:rPr>
          <w:rFonts w:ascii="Times New Roman" w:hAnsi="Times New Roman" w:eastAsia="宋体"/>
          <w:i/>
          <w:sz w:val="20"/>
          <w:szCs w:val="20"/>
        </w:rPr>
        <w:t xml:space="preserve">, </w:t>
      </w:r>
      <w:r>
        <w:rPr>
          <w:rFonts w:ascii="Times New Roman" w:hAnsi="Times New Roman" w:eastAsia="宋体"/>
          <w:iCs/>
          <w:sz w:val="20"/>
          <w:szCs w:val="20"/>
        </w:rPr>
        <w:t xml:space="preserve">the threshold configured in </w:t>
      </w:r>
      <w:r>
        <w:rPr>
          <w:rFonts w:ascii="Times New Roman" w:hAnsi="Times New Roman"/>
          <w:i/>
          <w:sz w:val="20"/>
          <w:szCs w:val="20"/>
        </w:rPr>
        <w:t>inactivePosSRS-RSRP-ChangeThreshold</w:t>
      </w:r>
      <w:r>
        <w:rPr>
          <w:rFonts w:ascii="Times New Roman" w:hAnsi="Times New Roman" w:eastAsia="宋体"/>
          <w:iCs/>
          <w:sz w:val="20"/>
          <w:szCs w:val="20"/>
        </w:rPr>
        <w:t xml:space="preserve"> is denoted as </w:t>
      </w:r>
      <w:r>
        <w:rPr>
          <w:rFonts w:ascii="Times New Roman" w:hAnsi="Times New Roman" w:eastAsia="宋体"/>
          <w:i/>
          <w:iCs/>
          <w:sz w:val="20"/>
          <w:szCs w:val="20"/>
        </w:rPr>
        <w:t>R</w:t>
      </w:r>
      <w:r>
        <w:rPr>
          <w:rFonts w:ascii="Times New Roman" w:hAnsi="Times New Roman" w:eastAsia="宋体"/>
          <w:i/>
          <w:iCs/>
          <w:sz w:val="20"/>
          <w:szCs w:val="20"/>
          <w:vertAlign w:val="subscript"/>
        </w:rPr>
        <w:t>th</w:t>
      </w:r>
      <w:r>
        <w:rPr>
          <w:rFonts w:ascii="Times New Roman" w:hAnsi="Times New Roman"/>
          <w:sz w:val="20"/>
          <w:szCs w:val="20"/>
        </w:rPr>
        <w:t xml:space="preserve">. </w:t>
      </w:r>
    </w:p>
    <w:p>
      <w:pPr>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sz w:val="20"/>
          <w:szCs w:val="20"/>
        </w:rPr>
        <w:t xml:space="preserve">We take pathloss reference_1 and pathloss reference_2 as two </w:t>
      </w:r>
      <w:r>
        <w:rPr>
          <w:rFonts w:hint="eastAsia" w:ascii="Times New Roman" w:hAnsi="Times New Roman"/>
          <w:sz w:val="20"/>
          <w:szCs w:val="20"/>
        </w:rPr>
        <w:t xml:space="preserve">reference signals </w:t>
      </w:r>
      <w:r>
        <w:rPr>
          <w:rFonts w:ascii="Times New Roman" w:hAnsi="Times New Roman"/>
          <w:sz w:val="20"/>
          <w:szCs w:val="20"/>
        </w:rPr>
        <w:t xml:space="preserve">that UE measured and selected as RSRP change threshold for TA validation in different cells. Specifically, </w:t>
      </w:r>
      <w:r>
        <w:rPr>
          <w:rFonts w:ascii="Times New Roman" w:hAnsi="Times New Roman" w:eastAsia="宋体"/>
          <w:sz w:val="20"/>
          <w:szCs w:val="20"/>
        </w:rPr>
        <w:t xml:space="preserve">UE will store the RSRP of measured pathloss reference, denote as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ctrlPr>
              <w:rPr>
                <w:rFonts w:ascii="Cambria Math" w:hAnsi="Cambria Math" w:eastAsia="宋体"/>
                <w:sz w:val="20"/>
                <w:szCs w:val="20"/>
              </w:rPr>
            </m:ctrlPr>
          </m:sup>
        </m:sSubSup>
      </m:oMath>
      <w:r>
        <w:rPr>
          <w:rFonts w:ascii="Times New Roman" w:hAnsi="Times New Roman" w:eastAsia="宋体"/>
          <w:sz w:val="20"/>
          <w:szCs w:val="20"/>
        </w:rPr>
        <w:t xml:space="preserve">, and when UE moves, the RSRP may vary with the distance between UE and TRP, denote the instantaneous value of RSRP at time </w:t>
      </w:r>
      <w:r>
        <w:rPr>
          <w:rFonts w:ascii="Times New Roman" w:hAnsi="Times New Roman" w:eastAsia="宋体"/>
          <w:i/>
          <w:iCs/>
          <w:sz w:val="20"/>
          <w:szCs w:val="20"/>
        </w:rPr>
        <w:t>t</w:t>
      </w:r>
      <w:r>
        <w:rPr>
          <w:rFonts w:hint="eastAsia" w:ascii="Times New Roman" w:hAnsi="Times New Roman" w:eastAsia="宋体"/>
          <w:i/>
          <w:iCs/>
          <w:sz w:val="20"/>
          <w:szCs w:val="20"/>
          <w:vertAlign w:val="subscript"/>
          <w:lang w:val="en-US" w:eastAsia="zh-CN"/>
        </w:rPr>
        <w:t>1</w:t>
      </w:r>
      <w:r>
        <w:rPr>
          <w:rFonts w:ascii="Times New Roman" w:hAnsi="Times New Roman" w:eastAsia="宋体"/>
          <w:sz w:val="20"/>
          <w:szCs w:val="20"/>
        </w:rPr>
        <w:t xml:space="preserve"> as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ctrlPr>
              <w:rPr>
                <w:rFonts w:ascii="Cambria Math" w:hAnsi="Cambria Math" w:eastAsia="宋体"/>
                <w:sz w:val="20"/>
                <w:szCs w:val="20"/>
              </w:rPr>
            </m:ctrlPr>
          </m:sup>
        </m:sSubSup>
      </m:oMath>
      <w:r>
        <w:rPr>
          <w:rFonts w:ascii="Times New Roman" w:hAnsi="Times New Roman" w:eastAsia="宋体"/>
          <w:sz w:val="20"/>
          <w:szCs w:val="20"/>
        </w:rPr>
        <w:t xml:space="preserve">. If the difference of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ctrlPr>
              <w:rPr>
                <w:rFonts w:ascii="Cambria Math" w:hAnsi="Cambria Math" w:eastAsia="宋体"/>
                <w:sz w:val="20"/>
                <w:szCs w:val="20"/>
              </w:rPr>
            </m:ctrlPr>
          </m:sup>
        </m:sSubSup>
      </m:oMath>
      <w:r>
        <w:rPr>
          <w:rFonts w:ascii="Times New Roman" w:hAnsi="Times New Roman" w:eastAsia="宋体"/>
          <w:sz w:val="20"/>
          <w:szCs w:val="20"/>
        </w:rPr>
        <w:t xml:space="preserve">and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ctrlPr>
              <w:rPr>
                <w:rFonts w:ascii="Cambria Math" w:hAnsi="Cambria Math" w:eastAsia="宋体"/>
                <w:sz w:val="20"/>
                <w:szCs w:val="20"/>
              </w:rPr>
            </m:ctrlPr>
          </m:sup>
        </m:sSubSup>
      </m:oMath>
      <w:r>
        <w:rPr>
          <w:rFonts w:hint="eastAsia" w:hAnsi="Cambria Math" w:eastAsia="宋体"/>
          <w:i w:val="0"/>
          <w:sz w:val="20"/>
          <w:szCs w:val="20"/>
          <w:lang w:val="en-US" w:eastAsia="zh-CN"/>
        </w:rPr>
        <w:t xml:space="preserve"> </w:t>
      </w:r>
      <w:r>
        <w:rPr>
          <w:rFonts w:ascii="Times New Roman" w:hAnsi="Times New Roman" w:eastAsia="宋体"/>
          <w:sz w:val="20"/>
          <w:szCs w:val="20"/>
        </w:rPr>
        <w:t xml:space="preserve">is great than the configured threshold, i.e.,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ctrlPr>
              <w:rPr>
                <w:rFonts w:ascii="Cambria Math" w:hAnsi="Cambria Math" w:eastAsia="宋体"/>
                <w:sz w:val="20"/>
                <w:szCs w:val="20"/>
              </w:rPr>
            </m:ctrlPr>
          </m:sup>
        </m:sSubSup>
      </m:oMath>
      <w:r>
        <w:rPr>
          <w:rFonts w:hint="eastAsia" w:ascii="Times New Roman" w:hAnsi="Times New Roman" w:eastAsia="宋体"/>
          <w:sz w:val="20"/>
          <w:szCs w:val="20"/>
          <w:lang w:val="en-US" w:eastAsia="zh-CN"/>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xml:space="preserve">, UE will stop transmitting SRS. </w:t>
      </w:r>
      <w:r>
        <w:rPr>
          <w:rFonts w:hint="eastAsia" w:ascii="Times New Roman" w:hAnsi="Times New Roman" w:eastAsia="宋体"/>
          <w:sz w:val="20"/>
          <w:szCs w:val="20"/>
        </w:rPr>
        <w:t>To analyse the pathloss reference RSRP change details, the following cases are considered:</w:t>
      </w:r>
    </w:p>
    <w:p>
      <w:pPr>
        <w:jc w:val="both"/>
        <w:rPr>
          <w:rFonts w:ascii="Times New Roman" w:hAnsi="Times New Roman" w:eastAsia="宋体"/>
          <w:b/>
          <w:bCs/>
          <w:sz w:val="20"/>
          <w:szCs w:val="20"/>
        </w:rPr>
      </w:pPr>
      <w:r>
        <w:rPr>
          <w:rFonts w:ascii="Times New Roman" w:hAnsi="Times New Roman" w:eastAsia="宋体"/>
          <w:b/>
          <w:bCs/>
          <w:sz w:val="20"/>
          <w:szCs w:val="20"/>
        </w:rPr>
        <w:t>Case 1: UE selects ONE pathloss reference for different SRS resource sets when transmitting SRS.</w:t>
      </w:r>
    </w:p>
    <w:p>
      <w:pPr>
        <w:jc w:val="center"/>
        <w:rPr>
          <w:rFonts w:ascii="Times New Roman" w:hAnsi="Times New Roman"/>
          <w:sz w:val="20"/>
          <w:szCs w:val="20"/>
        </w:rPr>
      </w:pPr>
      <w:r>
        <w:rPr>
          <w:rFonts w:ascii="Times New Roman" w:hAnsi="Times New Roman"/>
          <w:sz w:val="20"/>
          <w:szCs w:val="20"/>
        </w:rPr>
        <w:drawing>
          <wp:inline distT="0" distB="0" distL="114300" distR="114300">
            <wp:extent cx="2470150" cy="1684655"/>
            <wp:effectExtent l="0" t="0" r="6350" b="10795"/>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
                    <pic:cNvPicPr>
                      <a:picLocks noChangeAspect="1"/>
                    </pic:cNvPicPr>
                  </pic:nvPicPr>
                  <pic:blipFill>
                    <a:blip r:embed="rId10"/>
                    <a:stretch>
                      <a:fillRect/>
                    </a:stretch>
                  </pic:blipFill>
                  <pic:spPr>
                    <a:xfrm>
                      <a:off x="0" y="0"/>
                      <a:ext cx="2470150" cy="1684655"/>
                    </a:xfrm>
                    <a:prstGeom prst="rect">
                      <a:avLst/>
                    </a:prstGeom>
                    <a:noFill/>
                    <a:ln>
                      <a:noFill/>
                    </a:ln>
                  </pic:spPr>
                </pic:pic>
              </a:graphicData>
            </a:graphic>
          </wp:inline>
        </w:drawing>
      </w:r>
    </w:p>
    <w:p>
      <w:pPr>
        <w:pStyle w:val="15"/>
        <w:adjustRightInd w:val="0"/>
        <w:snapToGrid w:val="0"/>
        <w:spacing w:after="180" w:afterLines="50"/>
        <w:jc w:val="center"/>
        <w:rPr>
          <w:b w:val="0"/>
          <w:bCs w:val="0"/>
          <w:lang w:val="en-US" w:eastAsia="zh-CN"/>
        </w:rPr>
      </w:pPr>
      <w:bookmarkStart w:id="17" w:name="_Ref566"/>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4</w:t>
      </w:r>
      <w:r>
        <w:rPr>
          <w:b w:val="0"/>
          <w:bCs w:val="0"/>
        </w:rPr>
        <w:fldChar w:fldCharType="end"/>
      </w:r>
      <w:bookmarkEnd w:id="17"/>
      <w:r>
        <w:rPr>
          <w:b w:val="0"/>
          <w:bCs w:val="0"/>
          <w:lang w:val="en-US" w:eastAsia="zh-CN"/>
        </w:rPr>
        <w:t xml:space="preserve"> Example for </w:t>
      </w:r>
      <w:r>
        <w:rPr>
          <w:b w:val="0"/>
          <w:bCs w:val="0"/>
        </w:rPr>
        <w:t>inactivePosSRS-RSRP-ChangeThreshold</w:t>
      </w:r>
      <w:r>
        <w:rPr>
          <w:b w:val="0"/>
          <w:bCs w:val="0"/>
          <w:lang w:val="en-US" w:eastAsia="zh-CN"/>
        </w:rPr>
        <w:t xml:space="preserve"> calculation when selecting one pathloss reference</w:t>
      </w:r>
    </w:p>
    <w:p>
      <w:pPr>
        <w:adjustRightInd w:val="0"/>
        <w:snapToGrid w:val="0"/>
        <w:spacing w:after="180" w:afterLines="50" w:line="240" w:lineRule="auto"/>
        <w:jc w:val="both"/>
        <w:rPr>
          <w:rFonts w:ascii="Times New Roman" w:hAnsi="Times New Roman" w:eastAsia="宋体"/>
          <w:sz w:val="20"/>
          <w:szCs w:val="20"/>
        </w:rPr>
      </w:pPr>
      <w:r>
        <w:rPr>
          <w:rFonts w:ascii="Times New Roman" w:hAnsi="Times New Roman" w:eastAsia="宋体"/>
          <w:sz w:val="20"/>
          <w:szCs w:val="20"/>
        </w:rPr>
        <w:t>As show</w:t>
      </w:r>
      <w:r>
        <w:rPr>
          <w:rFonts w:hint="eastAsia" w:ascii="Times New Roman" w:hAnsi="Times New Roman"/>
          <w:sz w:val="20"/>
          <w:szCs w:val="20"/>
        </w:rPr>
        <w:t xml:space="preserve">n in </w:t>
      </w:r>
      <w:r>
        <w:rPr>
          <w:rFonts w:hint="eastAsia" w:ascii="Times New Roman" w:hAnsi="Times New Roman"/>
          <w:sz w:val="20"/>
          <w:szCs w:val="20"/>
        </w:rPr>
        <w:fldChar w:fldCharType="begin"/>
      </w:r>
      <w:r>
        <w:rPr>
          <w:rFonts w:hint="eastAsia" w:ascii="Times New Roman" w:hAnsi="Times New Roman"/>
          <w:sz w:val="20"/>
          <w:szCs w:val="20"/>
        </w:rPr>
        <w:instrText xml:space="preserve"> REF _Ref566 \h </w:instrText>
      </w:r>
      <w:r>
        <w:rPr>
          <w:rFonts w:hint="eastAsia" w:ascii="Times New Roman" w:hAnsi="Times New Roman"/>
          <w:sz w:val="20"/>
          <w:szCs w:val="20"/>
        </w:rPr>
        <w:fldChar w:fldCharType="separate"/>
      </w:r>
      <w:r>
        <w:rPr>
          <w:rFonts w:hint="eastAsia" w:ascii="Times New Roman" w:hAnsi="Times New Roman"/>
          <w:sz w:val="20"/>
          <w:szCs w:val="20"/>
        </w:rPr>
        <w:t>Figure 4</w:t>
      </w:r>
      <w:r>
        <w:rPr>
          <w:rFonts w:hint="eastAsia" w:ascii="Times New Roman" w:hAnsi="Times New Roman"/>
          <w:sz w:val="20"/>
          <w:szCs w:val="20"/>
        </w:rPr>
        <w:fldChar w:fldCharType="end"/>
      </w:r>
      <w:r>
        <w:rPr>
          <w:rFonts w:hint="eastAsia" w:ascii="Times New Roman" w:hAnsi="Times New Roman"/>
          <w:sz w:val="20"/>
          <w:szCs w:val="20"/>
        </w:rPr>
        <w:t>, at t</w:t>
      </w:r>
      <w:r>
        <w:rPr>
          <w:rFonts w:ascii="Times New Roman" w:hAnsi="Times New Roman" w:eastAsia="宋体"/>
          <w:sz w:val="20"/>
          <w:szCs w:val="20"/>
        </w:rPr>
        <w:t xml:space="preserve">ime </w:t>
      </w:r>
      <w:r>
        <w:rPr>
          <w:rFonts w:ascii="Times New Roman" w:hAnsi="Times New Roman" w:eastAsia="宋体"/>
          <w:i/>
          <w:iCs/>
          <w:sz w:val="20"/>
          <w:szCs w:val="20"/>
        </w:rPr>
        <w:t>t</w:t>
      </w:r>
      <w:r>
        <w:rPr>
          <w:rFonts w:ascii="Times New Roman" w:hAnsi="Times New Roman" w:eastAsia="宋体"/>
          <w:i/>
          <w:iCs/>
          <w:sz w:val="20"/>
          <w:szCs w:val="20"/>
          <w:vertAlign w:val="subscript"/>
        </w:rPr>
        <w:t>0</w:t>
      </w:r>
      <w:r>
        <w:rPr>
          <w:rFonts w:ascii="Times New Roman" w:hAnsi="Times New Roman" w:eastAsia="宋体"/>
          <w:sz w:val="20"/>
          <w:szCs w:val="20"/>
        </w:rPr>
        <w:t>,</w:t>
      </w:r>
      <w:r>
        <w:rPr>
          <w:rFonts w:ascii="Times New Roman" w:hAnsi="Times New Roman" w:eastAsia="宋体"/>
          <w:sz w:val="20"/>
          <w:szCs w:val="20"/>
          <w:vertAlign w:val="subscript"/>
        </w:rPr>
        <w:t xml:space="preserve"> </w:t>
      </w:r>
      <w:r>
        <w:rPr>
          <w:rFonts w:ascii="Times New Roman" w:hAnsi="Times New Roman" w:eastAsia="宋体"/>
          <w:sz w:val="20"/>
          <w:szCs w:val="20"/>
        </w:rPr>
        <w:t xml:space="preserve">UE take pathloss reference_1 as its pathloss reference and the stored RSRP of pathloss reference_1 at time </w:t>
      </w:r>
      <w:r>
        <w:rPr>
          <w:rFonts w:ascii="Times New Roman" w:hAnsi="Times New Roman" w:eastAsia="宋体"/>
          <w:i/>
          <w:iCs/>
          <w:sz w:val="20"/>
          <w:szCs w:val="20"/>
        </w:rPr>
        <w:t>t</w:t>
      </w:r>
      <w:r>
        <w:rPr>
          <w:rFonts w:ascii="Times New Roman" w:hAnsi="Times New Roman" w:eastAsia="宋体"/>
          <w:i/>
          <w:iCs/>
          <w:sz w:val="20"/>
          <w:szCs w:val="20"/>
          <w:vertAlign w:val="subscript"/>
        </w:rPr>
        <w:t>0</w:t>
      </w:r>
      <w:r>
        <w:rPr>
          <w:rFonts w:ascii="Times New Roman" w:hAnsi="Times New Roman" w:eastAsia="宋体"/>
          <w:sz w:val="20"/>
          <w:szCs w:val="20"/>
        </w:rPr>
        <w:t xml:space="preserve"> is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sz w:val="20"/>
          <w:szCs w:val="20"/>
        </w:rPr>
        <w:t xml:space="preserve">. When UE moves to the coverage of another cell at time </w:t>
      </w:r>
      <w:r>
        <w:rPr>
          <w:rFonts w:ascii="Times New Roman" w:hAnsi="Times New Roman" w:eastAsia="宋体"/>
          <w:i/>
          <w:iCs/>
          <w:sz w:val="20"/>
          <w:szCs w:val="20"/>
        </w:rPr>
        <w:t>t</w:t>
      </w:r>
      <w:r>
        <w:rPr>
          <w:rFonts w:ascii="Times New Roman" w:hAnsi="Times New Roman" w:eastAsia="宋体"/>
          <w:i/>
          <w:iCs/>
          <w:sz w:val="20"/>
          <w:szCs w:val="20"/>
          <w:vertAlign w:val="subscript"/>
        </w:rPr>
        <w:t>1</w:t>
      </w:r>
      <w:r>
        <w:rPr>
          <w:rFonts w:ascii="Times New Roman" w:hAnsi="Times New Roman" w:eastAsia="宋体"/>
          <w:sz w:val="20"/>
          <w:szCs w:val="20"/>
        </w:rPr>
        <w:t xml:space="preserve">, and update its pathloss reference as pathloss reference_2. Denote the RSRP of pathloss reference_2 at time </w:t>
      </w:r>
      <w:r>
        <w:rPr>
          <w:rFonts w:ascii="Times New Roman" w:hAnsi="Times New Roman" w:eastAsia="宋体"/>
          <w:i/>
          <w:iCs/>
          <w:sz w:val="20"/>
          <w:szCs w:val="20"/>
        </w:rPr>
        <w:t>t</w:t>
      </w:r>
      <w:r>
        <w:rPr>
          <w:rFonts w:ascii="Times New Roman" w:hAnsi="Times New Roman" w:eastAsia="宋体"/>
          <w:i/>
          <w:iCs/>
          <w:sz w:val="20"/>
          <w:szCs w:val="20"/>
          <w:vertAlign w:val="subscript"/>
        </w:rPr>
        <w:t>1</w:t>
      </w:r>
      <w:r>
        <w:rPr>
          <w:rFonts w:ascii="Times New Roman" w:hAnsi="Times New Roman" w:eastAsia="宋体"/>
          <w:sz w:val="20"/>
          <w:szCs w:val="20"/>
        </w:rPr>
        <w:t xml:space="preserve"> is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sz w:val="20"/>
          <w:szCs w:val="20"/>
        </w:rPr>
        <w:t xml:space="preserve">, and the RSRP of pathloss reference_1 at time </w:t>
      </w:r>
      <w:r>
        <w:rPr>
          <w:rFonts w:ascii="Times New Roman" w:hAnsi="Times New Roman" w:eastAsia="宋体"/>
          <w:i/>
          <w:iCs/>
          <w:sz w:val="20"/>
          <w:szCs w:val="20"/>
        </w:rPr>
        <w:t>t</w:t>
      </w:r>
      <w:r>
        <w:rPr>
          <w:rFonts w:ascii="Times New Roman" w:hAnsi="Times New Roman" w:eastAsia="宋体"/>
          <w:i/>
          <w:iCs/>
          <w:sz w:val="20"/>
          <w:szCs w:val="20"/>
          <w:vertAlign w:val="subscript"/>
        </w:rPr>
        <w:t>1</w:t>
      </w:r>
      <w:r>
        <w:rPr>
          <w:rFonts w:ascii="Times New Roman" w:hAnsi="Times New Roman" w:eastAsia="宋体"/>
          <w:sz w:val="20"/>
          <w:szCs w:val="20"/>
        </w:rPr>
        <w:t xml:space="preserve"> is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sz w:val="20"/>
          <w:szCs w:val="20"/>
        </w:rPr>
        <w:t>. For the RSRP change threshold definition, we have the following options:</w:t>
      </w:r>
    </w:p>
    <w:p>
      <w:pPr>
        <w:numPr>
          <w:ilvl w:val="0"/>
          <w:numId w:val="9"/>
        </w:numPr>
        <w:adjustRightInd w:val="0"/>
        <w:snapToGrid w:val="0"/>
        <w:spacing w:after="180" w:afterLines="50" w:line="240" w:lineRule="auto"/>
        <w:jc w:val="both"/>
        <w:rPr>
          <w:rFonts w:ascii="Times New Roman" w:hAnsi="Times New Roman" w:eastAsia="宋体"/>
          <w:sz w:val="20"/>
          <w:szCs w:val="20"/>
        </w:rPr>
      </w:pPr>
      <w:r>
        <w:rPr>
          <w:rFonts w:ascii="Times New Roman" w:hAnsi="Times New Roman" w:eastAsia="宋体"/>
          <w:sz w:val="20"/>
          <w:szCs w:val="20"/>
        </w:rPr>
        <w:t>Option 1: RSRP change is based on the same pathloss reference</w:t>
      </w:r>
    </w:p>
    <w:p>
      <w:pPr>
        <w:numPr>
          <w:ilvl w:val="0"/>
          <w:numId w:val="0"/>
        </w:numPr>
        <w:adjustRightInd w:val="0"/>
        <w:snapToGrid w:val="0"/>
        <w:spacing w:after="180" w:afterLines="50" w:line="240" w:lineRule="auto"/>
        <w:ind w:left="420" w:firstLine="0"/>
        <w:jc w:val="both"/>
        <w:rPr>
          <w:rFonts w:ascii="Times New Roman" w:hAnsi="Times New Roman" w:eastAsia="宋体"/>
          <w:sz w:val="20"/>
          <w:szCs w:val="20"/>
        </w:rPr>
      </w:pPr>
      <w:r>
        <w:rPr>
          <w:rFonts w:ascii="Times New Roman" w:hAnsi="Times New Roman" w:eastAsia="宋体"/>
          <w:sz w:val="20"/>
          <w:szCs w:val="20"/>
        </w:rPr>
        <w:t xml:space="preserve">UE calculates the RSRP change details using the same pathloss reference, i.e., the RSRP change refers to the difference of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hint="eastAsia" w:hAnsi="Cambria Math" w:eastAsia="宋体"/>
          <w:i w:val="0"/>
          <w:sz w:val="20"/>
          <w:szCs w:val="20"/>
          <w:lang w:val="en-US" w:eastAsia="zh-CN"/>
        </w:rPr>
        <w:t xml:space="preserve"> </w:t>
      </w:r>
      <w:r>
        <w:rPr>
          <w:rFonts w:ascii="Times New Roman" w:hAnsi="Times New Roman" w:eastAsia="宋体"/>
          <w:sz w:val="20"/>
          <w:szCs w:val="20"/>
        </w:rPr>
        <w:t>and</w:t>
      </w:r>
      <w:r>
        <w:rPr>
          <w:rFonts w:ascii="Times New Roman" w:hAnsi="Times New Roman" w:eastAsia="宋体"/>
          <w:sz w:val="20"/>
          <w:szCs w:val="20"/>
          <w:vertAlign w:val="subscript"/>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sz w:val="20"/>
          <w:szCs w:val="20"/>
        </w:rPr>
        <w:t xml:space="preserve">. These two values refer to the RSRP of pathloss reference_1 at different time. If the difference of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hint="eastAsia" w:hAnsi="Cambria Math" w:eastAsia="宋体"/>
          <w:i w:val="0"/>
          <w:sz w:val="20"/>
          <w:szCs w:val="20"/>
          <w:lang w:val="en-US" w:eastAsia="zh-CN"/>
        </w:rPr>
        <w:t xml:space="preserve"> </w:t>
      </w:r>
      <w:r>
        <w:rPr>
          <w:rFonts w:ascii="Times New Roman" w:hAnsi="Times New Roman" w:eastAsia="宋体"/>
          <w:sz w:val="20"/>
          <w:szCs w:val="20"/>
        </w:rPr>
        <w:t>and</w:t>
      </w:r>
      <w:r>
        <w:rPr>
          <w:rFonts w:ascii="Times New Roman" w:hAnsi="Times New Roman" w:eastAsia="宋体"/>
          <w:sz w:val="20"/>
          <w:szCs w:val="20"/>
          <w:vertAlign w:val="subscript"/>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sz w:val="20"/>
          <w:szCs w:val="20"/>
          <w:vertAlign w:val="subscript"/>
        </w:rPr>
        <w:t xml:space="preserve"> </w:t>
      </w:r>
      <w:r>
        <w:rPr>
          <w:rFonts w:ascii="Times New Roman" w:hAnsi="Times New Roman" w:eastAsia="宋体"/>
          <w:sz w:val="20"/>
          <w:szCs w:val="20"/>
        </w:rPr>
        <w:t xml:space="preserve">is great than the configured threshold, i.e.,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hint="eastAsia" w:hAnsi="Cambria Math" w:eastAsia="宋体"/>
          <w:i/>
          <w:sz w:val="20"/>
          <w:szCs w:val="20"/>
          <w:lang w:val="en-US" w:eastAsia="zh-CN"/>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UE will stop transmitting SRS. With this option, the adopted RSRP usually refers to the same pathloss reference, the RSRP change details can better reflect the movement of UE.</w:t>
      </w:r>
    </w:p>
    <w:p>
      <w:pPr>
        <w:numPr>
          <w:ilvl w:val="0"/>
          <w:numId w:val="9"/>
        </w:numPr>
        <w:adjustRightInd w:val="0"/>
        <w:snapToGrid w:val="0"/>
        <w:spacing w:after="180" w:afterLines="50" w:line="240" w:lineRule="auto"/>
        <w:jc w:val="both"/>
        <w:rPr>
          <w:rFonts w:ascii="Times New Roman" w:hAnsi="Times New Roman" w:eastAsia="宋体"/>
          <w:sz w:val="20"/>
          <w:szCs w:val="20"/>
        </w:rPr>
      </w:pPr>
      <w:r>
        <w:rPr>
          <w:rFonts w:ascii="Times New Roman" w:hAnsi="Times New Roman" w:eastAsia="宋体"/>
          <w:sz w:val="20"/>
          <w:szCs w:val="20"/>
        </w:rPr>
        <w:t>Option 2: RSRP change is based on the new pathloss reference and the old pathloss reference</w:t>
      </w:r>
    </w:p>
    <w:p>
      <w:pPr>
        <w:numPr>
          <w:ilvl w:val="0"/>
          <w:numId w:val="0"/>
        </w:numPr>
        <w:adjustRightInd w:val="0"/>
        <w:snapToGrid w:val="0"/>
        <w:spacing w:after="180" w:afterLines="50" w:line="240" w:lineRule="auto"/>
        <w:ind w:left="420" w:firstLine="0"/>
        <w:jc w:val="both"/>
        <w:rPr>
          <w:rFonts w:ascii="Times New Roman" w:hAnsi="Times New Roman" w:eastAsia="宋体"/>
          <w:sz w:val="20"/>
          <w:szCs w:val="20"/>
        </w:rPr>
      </w:pPr>
      <w:r>
        <w:rPr>
          <w:rFonts w:ascii="Times New Roman" w:hAnsi="Times New Roman" w:eastAsia="宋体"/>
          <w:sz w:val="20"/>
          <w:szCs w:val="20"/>
        </w:rPr>
        <w:t>UE calculate</w:t>
      </w:r>
      <w:r>
        <w:rPr>
          <w:rFonts w:hint="eastAsia" w:ascii="Times New Roman" w:hAnsi="Times New Roman" w:eastAsia="宋体"/>
          <w:sz w:val="20"/>
          <w:szCs w:val="20"/>
          <w:lang w:val="en-US" w:eastAsia="zh-CN"/>
        </w:rPr>
        <w:t>s</w:t>
      </w:r>
      <w:r>
        <w:rPr>
          <w:rFonts w:ascii="Times New Roman" w:hAnsi="Times New Roman" w:eastAsia="宋体"/>
          <w:sz w:val="20"/>
          <w:szCs w:val="20"/>
        </w:rPr>
        <w:t xml:space="preserve"> the RSRP change details using the updated pathloss reference, i.e., the RSRP change refers to the difference of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hint="eastAsia" w:hAnsi="Cambria Math" w:eastAsia="宋体"/>
          <w:i w:val="0"/>
          <w:sz w:val="20"/>
          <w:szCs w:val="20"/>
          <w:lang w:val="en-US" w:eastAsia="zh-CN"/>
        </w:rPr>
        <w:t xml:space="preserve"> </w:t>
      </w:r>
      <w:r>
        <w:rPr>
          <w:rFonts w:ascii="Times New Roman" w:hAnsi="Times New Roman" w:eastAsia="宋体"/>
          <w:sz w:val="20"/>
          <w:szCs w:val="20"/>
        </w:rPr>
        <w:t>and</w:t>
      </w:r>
      <w:r>
        <w:rPr>
          <w:rFonts w:ascii="Times New Roman" w:hAnsi="Times New Roman" w:eastAsia="宋体"/>
          <w:sz w:val="20"/>
          <w:szCs w:val="20"/>
          <w:vertAlign w:val="subscript"/>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sz w:val="20"/>
          <w:szCs w:val="20"/>
        </w:rPr>
        <w:t xml:space="preserve">. These two values refer to the RSRP of pathloss reference_1 at time </w:t>
      </w:r>
      <w:r>
        <w:rPr>
          <w:rFonts w:ascii="Times New Roman" w:hAnsi="Times New Roman" w:eastAsia="宋体"/>
          <w:i/>
          <w:iCs/>
          <w:sz w:val="20"/>
          <w:szCs w:val="20"/>
        </w:rPr>
        <w:t>t</w:t>
      </w:r>
      <w:r>
        <w:rPr>
          <w:rFonts w:ascii="Times New Roman" w:hAnsi="Times New Roman" w:eastAsia="宋体"/>
          <w:i/>
          <w:iCs/>
          <w:sz w:val="20"/>
          <w:szCs w:val="20"/>
          <w:vertAlign w:val="subscript"/>
        </w:rPr>
        <w:t>0</w:t>
      </w:r>
      <w:r>
        <w:rPr>
          <w:rFonts w:ascii="Times New Roman" w:hAnsi="Times New Roman" w:eastAsia="宋体"/>
          <w:sz w:val="20"/>
          <w:szCs w:val="20"/>
        </w:rPr>
        <w:t xml:space="preserve"> and pathloss reference_2 at time </w:t>
      </w:r>
      <w:r>
        <w:rPr>
          <w:rFonts w:ascii="Times New Roman" w:hAnsi="Times New Roman" w:eastAsia="宋体"/>
          <w:i/>
          <w:iCs/>
          <w:sz w:val="20"/>
          <w:szCs w:val="20"/>
        </w:rPr>
        <w:t>t</w:t>
      </w:r>
      <w:r>
        <w:rPr>
          <w:rFonts w:ascii="Times New Roman" w:hAnsi="Times New Roman" w:eastAsia="宋体"/>
          <w:i/>
          <w:iCs/>
          <w:sz w:val="20"/>
          <w:szCs w:val="20"/>
          <w:vertAlign w:val="subscript"/>
        </w:rPr>
        <w:t>1</w:t>
      </w:r>
      <w:r>
        <w:rPr>
          <w:rFonts w:ascii="Times New Roman" w:hAnsi="Times New Roman" w:eastAsia="宋体"/>
          <w:sz w:val="20"/>
          <w:szCs w:val="20"/>
        </w:rPr>
        <w:t xml:space="preserve">. If the difference of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hint="eastAsia" w:hAnsi="Cambria Math" w:eastAsia="宋体"/>
          <w:i w:val="0"/>
          <w:sz w:val="20"/>
          <w:szCs w:val="20"/>
          <w:lang w:val="en-US" w:eastAsia="zh-CN"/>
        </w:rPr>
        <w:t xml:space="preserve"> </w:t>
      </w:r>
      <w:r>
        <w:rPr>
          <w:rFonts w:ascii="Times New Roman" w:hAnsi="Times New Roman" w:eastAsia="宋体"/>
          <w:sz w:val="20"/>
          <w:szCs w:val="20"/>
        </w:rPr>
        <w:t>and</w:t>
      </w:r>
      <w:r>
        <w:rPr>
          <w:rFonts w:ascii="Times New Roman" w:hAnsi="Times New Roman" w:eastAsia="宋体"/>
          <w:sz w:val="20"/>
          <w:szCs w:val="20"/>
          <w:vertAlign w:val="subscript"/>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sz w:val="20"/>
          <w:szCs w:val="20"/>
          <w:vertAlign w:val="subscript"/>
        </w:rPr>
        <w:t xml:space="preserve"> </w:t>
      </w:r>
      <w:r>
        <w:rPr>
          <w:rFonts w:ascii="Times New Roman" w:hAnsi="Times New Roman" w:eastAsia="宋体"/>
          <w:sz w:val="20"/>
          <w:szCs w:val="20"/>
        </w:rPr>
        <w:t xml:space="preserve">is great than the configured threshold, i.e.,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hint="eastAsia" w:hAnsi="Cambria Math" w:eastAsia="宋体"/>
          <w:i w:val="0"/>
          <w:sz w:val="20"/>
          <w:szCs w:val="20"/>
          <w:lang w:val="en-US" w:eastAsia="zh-CN"/>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xml:space="preserve">, UE will stop transmitting SRS. </w:t>
      </w:r>
    </w:p>
    <w:p>
      <w:pPr>
        <w:adjustRightInd w:val="0"/>
        <w:snapToGrid w:val="0"/>
        <w:spacing w:after="180" w:afterLines="50" w:line="240" w:lineRule="auto"/>
        <w:jc w:val="both"/>
        <w:rPr>
          <w:rFonts w:ascii="Times New Roman" w:hAnsi="Times New Roman" w:eastAsia="宋体"/>
          <w:b/>
          <w:bCs/>
          <w:sz w:val="20"/>
          <w:szCs w:val="20"/>
        </w:rPr>
      </w:pPr>
      <w:r>
        <w:rPr>
          <w:rFonts w:ascii="Times New Roman" w:hAnsi="Times New Roman" w:eastAsia="宋体"/>
          <w:b/>
          <w:bCs/>
          <w:sz w:val="20"/>
          <w:szCs w:val="20"/>
        </w:rPr>
        <w:t>Case 2: UE selects different pathloss reference for different SRS resource sets when transmitting SRS.</w:t>
      </w:r>
    </w:p>
    <w:p>
      <w:pPr>
        <w:adjustRightInd w:val="0"/>
        <w:snapToGrid w:val="0"/>
        <w:spacing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2418715" cy="2399030"/>
            <wp:effectExtent l="0" t="0" r="635" b="1270"/>
            <wp:docPr id="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
                    <pic:cNvPicPr>
                      <a:picLocks noChangeAspect="1"/>
                    </pic:cNvPicPr>
                  </pic:nvPicPr>
                  <pic:blipFill>
                    <a:blip r:embed="rId11"/>
                    <a:stretch>
                      <a:fillRect/>
                    </a:stretch>
                  </pic:blipFill>
                  <pic:spPr>
                    <a:xfrm>
                      <a:off x="0" y="0"/>
                      <a:ext cx="2418715" cy="2399030"/>
                    </a:xfrm>
                    <a:prstGeom prst="rect">
                      <a:avLst/>
                    </a:prstGeom>
                    <a:noFill/>
                    <a:ln>
                      <a:noFill/>
                    </a:ln>
                  </pic:spPr>
                </pic:pic>
              </a:graphicData>
            </a:graphic>
          </wp:inline>
        </w:drawing>
      </w:r>
    </w:p>
    <w:p>
      <w:pPr>
        <w:pStyle w:val="15"/>
        <w:adjustRightInd w:val="0"/>
        <w:snapToGrid w:val="0"/>
        <w:spacing w:after="180" w:afterLines="50"/>
        <w:jc w:val="center"/>
        <w:rPr>
          <w:b w:val="0"/>
          <w:bCs w:val="0"/>
          <w:lang w:val="en-US" w:eastAsia="zh-CN"/>
        </w:rPr>
      </w:pPr>
      <w:bookmarkStart w:id="18" w:name="_Ref605"/>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5</w:t>
      </w:r>
      <w:r>
        <w:rPr>
          <w:b w:val="0"/>
          <w:bCs w:val="0"/>
        </w:rPr>
        <w:fldChar w:fldCharType="end"/>
      </w:r>
      <w:bookmarkEnd w:id="18"/>
      <w:r>
        <w:rPr>
          <w:b w:val="0"/>
          <w:bCs w:val="0"/>
          <w:lang w:val="en-US" w:eastAsia="zh-CN"/>
        </w:rPr>
        <w:t xml:space="preserve"> Example for </w:t>
      </w:r>
      <w:r>
        <w:rPr>
          <w:b w:val="0"/>
          <w:bCs w:val="0"/>
        </w:rPr>
        <w:t>inactivePosSRS-RSRP-ChangeThreshold</w:t>
      </w:r>
      <w:r>
        <w:rPr>
          <w:b w:val="0"/>
          <w:bCs w:val="0"/>
          <w:lang w:val="en-US" w:eastAsia="zh-CN"/>
        </w:rPr>
        <w:t xml:space="preserve"> calculation when selecting multiple pathloss references</w:t>
      </w:r>
    </w:p>
    <w:p>
      <w:pPr>
        <w:adjustRightInd w:val="0"/>
        <w:snapToGrid w:val="0"/>
        <w:spacing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As shown in </w:t>
      </w:r>
      <w:r>
        <w:rPr>
          <w:rFonts w:ascii="Times New Roman" w:hAnsi="Times New Roman" w:eastAsia="宋体"/>
          <w:sz w:val="20"/>
          <w:szCs w:val="20"/>
        </w:rPr>
        <w:fldChar w:fldCharType="begin"/>
      </w:r>
      <w:r>
        <w:rPr>
          <w:rFonts w:ascii="Times New Roman" w:hAnsi="Times New Roman" w:eastAsia="宋体"/>
          <w:sz w:val="20"/>
          <w:szCs w:val="20"/>
        </w:rPr>
        <w:instrText xml:space="preserve"> REF _Ref605 \h </w:instrText>
      </w:r>
      <w:r>
        <w:rPr>
          <w:rFonts w:ascii="Times New Roman" w:hAnsi="Times New Roman" w:eastAsia="宋体"/>
          <w:sz w:val="20"/>
          <w:szCs w:val="20"/>
        </w:rPr>
        <w:fldChar w:fldCharType="separate"/>
      </w:r>
      <w:r>
        <w:rPr>
          <w:rFonts w:ascii="Times New Roman" w:hAnsi="Times New Roman" w:eastAsia="宋体"/>
          <w:sz w:val="20"/>
          <w:szCs w:val="20"/>
        </w:rPr>
        <w:t>Figure 5</w:t>
      </w:r>
      <w:r>
        <w:rPr>
          <w:rFonts w:ascii="Times New Roman" w:hAnsi="Times New Roman" w:eastAsia="宋体"/>
          <w:sz w:val="20"/>
          <w:szCs w:val="20"/>
        </w:rPr>
        <w:fldChar w:fldCharType="end"/>
      </w:r>
      <w:r>
        <w:rPr>
          <w:rFonts w:ascii="Times New Roman" w:hAnsi="Times New Roman" w:eastAsia="宋体"/>
          <w:sz w:val="20"/>
          <w:szCs w:val="20"/>
        </w:rPr>
        <w:t>, UE is configured with 2 SRS for positioning resource sets, and at time t</w:t>
      </w:r>
      <w:r>
        <w:rPr>
          <w:rFonts w:ascii="Times New Roman" w:hAnsi="Times New Roman" w:eastAsia="宋体"/>
          <w:sz w:val="20"/>
          <w:szCs w:val="20"/>
          <w:vertAlign w:val="subscript"/>
        </w:rPr>
        <w:t>0</w:t>
      </w:r>
      <w:r>
        <w:rPr>
          <w:rFonts w:ascii="Times New Roman" w:hAnsi="Times New Roman" w:eastAsia="宋体"/>
          <w:sz w:val="20"/>
          <w:szCs w:val="20"/>
        </w:rPr>
        <w:t xml:space="preserve">, the pathloss references of these two sets are pathloss reference_1 and pathloss reference_2, respectively. And UE takes pathloss reference_1 and pathloss reference_2 as its pathloss references for the two different SRS resource sets and the stored (at time </w:t>
      </w:r>
      <w:r>
        <w:rPr>
          <w:rFonts w:ascii="Times New Roman" w:hAnsi="Times New Roman" w:eastAsia="宋体"/>
          <w:i/>
          <w:iCs/>
          <w:sz w:val="20"/>
          <w:szCs w:val="20"/>
        </w:rPr>
        <w:t>t</w:t>
      </w:r>
      <w:r>
        <w:rPr>
          <w:rFonts w:ascii="Times New Roman" w:hAnsi="Times New Roman" w:eastAsia="宋体"/>
          <w:i/>
          <w:iCs/>
          <w:sz w:val="20"/>
          <w:szCs w:val="20"/>
          <w:vertAlign w:val="subscript"/>
        </w:rPr>
        <w:t>0</w:t>
      </w:r>
      <w:r>
        <w:rPr>
          <w:rFonts w:ascii="Times New Roman" w:hAnsi="Times New Roman" w:eastAsia="宋体"/>
          <w:sz w:val="20"/>
          <w:szCs w:val="20"/>
        </w:rPr>
        <w:t xml:space="preserve">) RSRP of pathloss reference_1 and pathloss reference_2 are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hint="eastAsia" w:hAnsi="Cambria Math" w:eastAsia="宋体"/>
          <w:i w:val="0"/>
          <w:sz w:val="20"/>
          <w:szCs w:val="20"/>
          <w:lang w:val="en-US" w:eastAsia="zh-CN"/>
        </w:rPr>
        <w:t xml:space="preserve"> </w:t>
      </w:r>
      <w:r>
        <w:rPr>
          <w:rFonts w:ascii="Times New Roman" w:hAnsi="Times New Roman" w:eastAsia="宋体"/>
          <w:sz w:val="20"/>
          <w:szCs w:val="20"/>
        </w:rPr>
        <w:t>and</w:t>
      </w:r>
      <w:r>
        <w:rPr>
          <w:rFonts w:ascii="Times New Roman" w:hAnsi="Times New Roman" w:eastAsia="宋体"/>
          <w:sz w:val="20"/>
          <w:szCs w:val="20"/>
          <w:vertAlign w:val="subscript"/>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sz w:val="20"/>
          <w:szCs w:val="20"/>
        </w:rPr>
        <w:t xml:space="preserve"> respectively. When UE moves to the coverage of another cell at time </w:t>
      </w:r>
      <w:r>
        <w:rPr>
          <w:rFonts w:ascii="Times New Roman" w:hAnsi="Times New Roman" w:eastAsia="宋体"/>
          <w:i/>
          <w:iCs/>
          <w:sz w:val="20"/>
          <w:szCs w:val="20"/>
        </w:rPr>
        <w:t>t</w:t>
      </w:r>
      <w:r>
        <w:rPr>
          <w:rFonts w:ascii="Times New Roman" w:hAnsi="Times New Roman" w:eastAsia="宋体"/>
          <w:i/>
          <w:iCs/>
          <w:sz w:val="20"/>
          <w:szCs w:val="20"/>
          <w:vertAlign w:val="subscript"/>
        </w:rPr>
        <w:t>1</w:t>
      </w:r>
      <w:r>
        <w:rPr>
          <w:rFonts w:ascii="Times New Roman" w:hAnsi="Times New Roman" w:eastAsia="宋体"/>
          <w:sz w:val="20"/>
          <w:szCs w:val="20"/>
        </w:rPr>
        <w:t xml:space="preserve">, and update its pathloss references as pathloss reference_3 and pathloss reference_4. Denote the RSRP of pathloss reference_3 and pathloss reference_4 at time </w:t>
      </w:r>
      <w:r>
        <w:rPr>
          <w:rFonts w:ascii="Times New Roman" w:hAnsi="Times New Roman" w:eastAsia="宋体"/>
          <w:i/>
          <w:iCs/>
          <w:sz w:val="20"/>
          <w:szCs w:val="20"/>
        </w:rPr>
        <w:t>t</w:t>
      </w:r>
      <w:r>
        <w:rPr>
          <w:rFonts w:ascii="Times New Roman" w:hAnsi="Times New Roman" w:eastAsia="宋体"/>
          <w:i/>
          <w:iCs/>
          <w:sz w:val="20"/>
          <w:szCs w:val="20"/>
          <w:vertAlign w:val="subscript"/>
        </w:rPr>
        <w:t>1</w:t>
      </w:r>
      <w:r>
        <w:rPr>
          <w:rFonts w:ascii="Times New Roman" w:hAnsi="Times New Roman" w:eastAsia="宋体"/>
          <w:sz w:val="20"/>
          <w:szCs w:val="20"/>
        </w:rPr>
        <w:t xml:space="preserve"> are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3</m:t>
            </m:r>
            <m:ctrlPr>
              <w:rPr>
                <w:rFonts w:ascii="Cambria Math" w:hAnsi="Cambria Math" w:eastAsia="宋体"/>
                <w:sz w:val="20"/>
                <w:szCs w:val="20"/>
              </w:rPr>
            </m:ctrlPr>
          </m:sup>
        </m:sSubSup>
      </m:oMath>
      <w:r>
        <w:rPr>
          <w:rFonts w:hint="eastAsia" w:hAnsi="Cambria Math" w:eastAsia="宋体"/>
          <w:i w:val="0"/>
          <w:sz w:val="20"/>
          <w:szCs w:val="20"/>
          <w:lang w:val="en-US" w:eastAsia="zh-CN"/>
        </w:rPr>
        <w:t xml:space="preserve"> </w:t>
      </w:r>
      <w:r>
        <w:rPr>
          <w:rFonts w:ascii="Times New Roman" w:hAnsi="Times New Roman" w:eastAsia="宋体"/>
          <w:sz w:val="20"/>
          <w:szCs w:val="20"/>
        </w:rPr>
        <w:t>and</w:t>
      </w:r>
      <w:r>
        <w:rPr>
          <w:rFonts w:ascii="Times New Roman" w:hAnsi="Times New Roman" w:eastAsia="宋体"/>
          <w:sz w:val="20"/>
          <w:szCs w:val="20"/>
          <w:vertAlign w:val="subscript"/>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4</m:t>
            </m:r>
            <m:ctrlPr>
              <w:rPr>
                <w:rFonts w:ascii="Cambria Math" w:hAnsi="Cambria Math" w:eastAsia="宋体"/>
                <w:sz w:val="20"/>
                <w:szCs w:val="20"/>
              </w:rPr>
            </m:ctrlPr>
          </m:sup>
        </m:sSubSup>
      </m:oMath>
      <w:r>
        <w:rPr>
          <w:rFonts w:ascii="Times New Roman" w:hAnsi="Times New Roman" w:eastAsia="宋体"/>
          <w:sz w:val="20"/>
          <w:szCs w:val="20"/>
        </w:rPr>
        <w:t xml:space="preserve">, </w:t>
      </w:r>
      <w:r>
        <w:rPr>
          <w:rFonts w:ascii="Times New Roman" w:hAnsi="Times New Roman" w:eastAsia="宋体"/>
          <w:sz w:val="20"/>
          <w:szCs w:val="20"/>
          <w:highlight w:val="none"/>
        </w:rPr>
        <w:t xml:space="preserve">and the RSRP of pathloss reference_1 and pathloss reference_2 at time </w:t>
      </w:r>
      <w:r>
        <w:rPr>
          <w:rFonts w:ascii="Times New Roman" w:hAnsi="Times New Roman" w:eastAsia="宋体"/>
          <w:i/>
          <w:iCs/>
          <w:sz w:val="20"/>
          <w:szCs w:val="20"/>
          <w:highlight w:val="none"/>
        </w:rPr>
        <w:t>t</w:t>
      </w:r>
      <w:r>
        <w:rPr>
          <w:rFonts w:ascii="Times New Roman" w:hAnsi="Times New Roman" w:eastAsia="宋体"/>
          <w:i/>
          <w:iCs/>
          <w:sz w:val="20"/>
          <w:szCs w:val="20"/>
          <w:highlight w:val="none"/>
          <w:vertAlign w:val="subscript"/>
        </w:rPr>
        <w:t>1</w:t>
      </w:r>
      <w:r>
        <w:rPr>
          <w:rFonts w:ascii="Times New Roman" w:hAnsi="Times New Roman" w:eastAsia="宋体"/>
          <w:sz w:val="20"/>
          <w:szCs w:val="20"/>
          <w:highlight w:val="none"/>
        </w:rPr>
        <w:t xml:space="preserve"> are are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sz w:val="20"/>
          <w:szCs w:val="20"/>
        </w:rPr>
        <w:t xml:space="preserve"> and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PL2</m:t>
            </m:r>
            <m:ctrlPr>
              <w:rPr>
                <w:rFonts w:ascii="Cambria Math" w:hAnsi="Cambria Math" w:eastAsia="宋体"/>
                <w:sz w:val="20"/>
                <w:szCs w:val="20"/>
              </w:rPr>
            </m:ctrlPr>
          </m:sup>
        </m:sSubSup>
      </m:oMath>
      <w:r>
        <w:rPr>
          <w:rFonts w:ascii="Times New Roman" w:hAnsi="Times New Roman" w:eastAsia="宋体"/>
          <w:sz w:val="20"/>
          <w:szCs w:val="20"/>
        </w:rPr>
        <w:t>. For the RSRP change threshold definition, we have the following options:</w:t>
      </w:r>
    </w:p>
    <w:p>
      <w:pPr>
        <w:numPr>
          <w:ilvl w:val="0"/>
          <w:numId w:val="9"/>
        </w:numPr>
        <w:adjustRightInd w:val="0"/>
        <w:snapToGrid w:val="0"/>
        <w:spacing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Option 1: UE calculate the RSRP change details using the same pathloss references, i.e., the RSRP change of resource set 1 refer to the difference between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sz w:val="20"/>
          <w:szCs w:val="20"/>
          <w:vertAlign w:val="subscript"/>
        </w:rPr>
        <w:t xml:space="preserve"> </w:t>
      </w:r>
      <w:r>
        <w:rPr>
          <w:rFonts w:ascii="Times New Roman" w:hAnsi="Times New Roman" w:eastAsia="宋体"/>
          <w:sz w:val="20"/>
          <w:szCs w:val="20"/>
        </w:rPr>
        <w:t>and</w:t>
      </w:r>
      <w:r>
        <w:rPr>
          <w:rFonts w:hint="eastAsia" w:ascii="Times New Roman" w:hAnsi="Times New Roman" w:eastAsia="宋体"/>
          <w:i/>
          <w:iCs/>
          <w:sz w:val="20"/>
          <w:szCs w:val="20"/>
          <w:lang w:val="en-US" w:eastAsia="zh-CN"/>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sz w:val="20"/>
          <w:szCs w:val="20"/>
        </w:rPr>
        <w:t xml:space="preserve">, the RSRP change of resource set 2 refers to the difference between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i/>
          <w:iCs/>
          <w:sz w:val="20"/>
          <w:szCs w:val="20"/>
          <w:vertAlign w:val="subscript"/>
        </w:rPr>
        <w:t xml:space="preserve"> </w:t>
      </w:r>
      <w:r>
        <w:rPr>
          <w:rFonts w:ascii="Times New Roman" w:hAnsi="Times New Roman" w:eastAsia="宋体"/>
          <w:sz w:val="20"/>
          <w:szCs w:val="20"/>
        </w:rPr>
        <w:t>and</w:t>
      </w:r>
      <w:r>
        <w:rPr>
          <w:rFonts w:ascii="Times New Roman" w:hAnsi="Times New Roman" w:eastAsia="宋体"/>
          <w:sz w:val="20"/>
          <w:szCs w:val="20"/>
          <w:vertAlign w:val="subscript"/>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PL2</m:t>
            </m:r>
            <m:ctrlPr>
              <w:rPr>
                <w:rFonts w:ascii="Cambria Math" w:hAnsi="Cambria Math" w:eastAsia="宋体"/>
                <w:sz w:val="20"/>
                <w:szCs w:val="20"/>
              </w:rPr>
            </m:ctrlPr>
          </m:sup>
        </m:sSubSup>
      </m:oMath>
      <w:r>
        <w:rPr>
          <w:rFonts w:ascii="Times New Roman" w:hAnsi="Times New Roman" w:eastAsia="宋体"/>
          <w:sz w:val="20"/>
          <w:szCs w:val="20"/>
        </w:rPr>
        <w:t xml:space="preserve">. </w:t>
      </w:r>
    </w:p>
    <w:p>
      <w:pPr>
        <w:adjustRightInd w:val="0"/>
        <w:snapToGrid w:val="0"/>
        <w:spacing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With this </w:t>
      </w:r>
      <w:r>
        <w:rPr>
          <w:rFonts w:ascii="Times New Roman" w:hAnsi="Times New Roman" w:eastAsia="宋体"/>
          <w:sz w:val="20"/>
          <w:szCs w:val="20"/>
        </w:rPr>
        <w:t xml:space="preserve">option, on one hand, UE can transmit SRS in different resource sets separately, i.e., if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xml:space="preserve">, UE will stop transmitting SRS in resource set 1, and if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PL2</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xml:space="preserve">, UE will stop transmitting SRS in resource set 2. Similar methods can also be used when UEs are configured with more resource sets. On the other hand, UE can transmit SRS in different SRS resource sets with the same threshold validity criterion, i.e., if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xml:space="preserve"> or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PL2</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xml:space="preserve">, UE will stop transmitting SRS in both resource sets. From another perspective, UE can transmit SRS in different SRS resource sets based on the average RSRP changes. Specifically, UE can store the RSRP as the average of pathloss references for different resource sets, i.e., the stored RSRP in </w:t>
      </w:r>
      <w:r>
        <w:rPr>
          <w:rFonts w:ascii="Times New Roman" w:hAnsi="Times New Roman" w:eastAsia="宋体"/>
          <w:sz w:val="20"/>
          <w:szCs w:val="20"/>
        </w:rPr>
        <w:fldChar w:fldCharType="begin"/>
      </w:r>
      <w:r>
        <w:rPr>
          <w:rFonts w:ascii="Times New Roman" w:hAnsi="Times New Roman" w:eastAsia="宋体"/>
          <w:sz w:val="20"/>
          <w:szCs w:val="20"/>
        </w:rPr>
        <w:instrText xml:space="preserve"> REF _Ref605 \h </w:instrText>
      </w:r>
      <w:r>
        <w:rPr>
          <w:rFonts w:ascii="Times New Roman" w:hAnsi="Times New Roman" w:eastAsia="宋体"/>
          <w:sz w:val="20"/>
          <w:szCs w:val="20"/>
        </w:rPr>
        <w:fldChar w:fldCharType="separate"/>
      </w:r>
      <w:r>
        <w:rPr>
          <w:rFonts w:ascii="Times New Roman" w:hAnsi="Times New Roman" w:eastAsia="宋体"/>
          <w:sz w:val="20"/>
          <w:szCs w:val="20"/>
        </w:rPr>
        <w:t>Figure 5</w:t>
      </w:r>
      <w:r>
        <w:rPr>
          <w:rFonts w:ascii="Times New Roman" w:hAnsi="Times New Roman" w:eastAsia="宋体"/>
          <w:sz w:val="20"/>
          <w:szCs w:val="20"/>
        </w:rPr>
        <w:fldChar w:fldCharType="end"/>
      </w:r>
      <w:r>
        <w:rPr>
          <w:rFonts w:ascii="Times New Roman" w:hAnsi="Times New Roman" w:eastAsia="宋体"/>
          <w:sz w:val="20"/>
          <w:szCs w:val="20"/>
        </w:rPr>
        <w:t xml:space="preserve"> is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i/>
          <w:iCs/>
          <w:sz w:val="20"/>
          <w:szCs w:val="20"/>
        </w:rPr>
        <w:t>)/2</w:t>
      </w:r>
      <w:r>
        <w:rPr>
          <w:rFonts w:ascii="Times New Roman" w:hAnsi="Times New Roman" w:eastAsia="宋体"/>
          <w:sz w:val="20"/>
          <w:szCs w:val="20"/>
        </w:rPr>
        <w:t xml:space="preserve">, denote as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1</m:t>
            </m:r>
            <m:r>
              <m:rPr/>
              <w:rPr>
                <w:rFonts w:hint="eastAsia" w:ascii="Cambria Math" w:hAnsi="Cambria Math" w:eastAsia="宋体"/>
                <w:sz w:val="20"/>
                <w:szCs w:val="20"/>
                <w:lang w:val="en-US" w:eastAsia="zh-CN"/>
              </w:rPr>
              <m:t>/</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sz w:val="20"/>
          <w:szCs w:val="20"/>
        </w:rPr>
        <w:t xml:space="preserve">, and the RSRP of pathloss reference_1 and pathloss reference_2 at time </w:t>
      </w:r>
      <w:r>
        <w:rPr>
          <w:rFonts w:ascii="Times New Roman" w:hAnsi="Times New Roman" w:eastAsia="宋体"/>
          <w:i/>
          <w:iCs/>
          <w:sz w:val="20"/>
          <w:szCs w:val="20"/>
        </w:rPr>
        <w:t>t</w:t>
      </w:r>
      <w:r>
        <w:rPr>
          <w:rFonts w:ascii="Times New Roman" w:hAnsi="Times New Roman" w:eastAsia="宋体"/>
          <w:i/>
          <w:iCs/>
          <w:sz w:val="20"/>
          <w:szCs w:val="20"/>
          <w:vertAlign w:val="subscript"/>
        </w:rPr>
        <w:t>1</w:t>
      </w:r>
      <w:r>
        <w:rPr>
          <w:rFonts w:ascii="Times New Roman" w:hAnsi="Times New Roman" w:eastAsia="宋体"/>
          <w:sz w:val="20"/>
          <w:szCs w:val="20"/>
        </w:rPr>
        <w:t xml:space="preserve"> is</w:t>
      </w:r>
      <w:r>
        <w:rPr>
          <w:rFonts w:ascii="Times New Roman" w:hAnsi="Times New Roman" w:eastAsia="宋体"/>
          <w:i/>
          <w:iCs/>
          <w:sz w:val="20"/>
          <w:szCs w:val="20"/>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PL2</m:t>
            </m:r>
            <m:ctrlPr>
              <w:rPr>
                <w:rFonts w:ascii="Cambria Math" w:hAnsi="Cambria Math" w:eastAsia="宋体"/>
                <w:sz w:val="20"/>
                <w:szCs w:val="20"/>
              </w:rPr>
            </m:ctrlPr>
          </m:sup>
        </m:sSubSup>
      </m:oMath>
      <w:r>
        <w:rPr>
          <w:rFonts w:ascii="Times New Roman" w:hAnsi="Times New Roman" w:eastAsia="宋体"/>
          <w:i/>
          <w:iCs/>
          <w:sz w:val="20"/>
          <w:szCs w:val="20"/>
        </w:rPr>
        <w:t>)/2</w:t>
      </w:r>
      <w:r>
        <w:rPr>
          <w:rFonts w:ascii="Times New Roman" w:hAnsi="Times New Roman" w:eastAsia="宋体"/>
          <w:sz w:val="20"/>
          <w:szCs w:val="20"/>
        </w:rPr>
        <w:t xml:space="preserve">, denote as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eastAsia"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1</m:t>
            </m:r>
            <m:r>
              <m:rPr/>
              <w:rPr>
                <w:rFonts w:hint="eastAsia" w:ascii="Cambria Math" w:hAnsi="Cambria Math" w:eastAsia="宋体"/>
                <w:sz w:val="20"/>
                <w:szCs w:val="20"/>
                <w:lang w:val="en-US" w:eastAsia="zh-CN"/>
              </w:rPr>
              <m:t>/</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sz w:val="20"/>
          <w:szCs w:val="20"/>
        </w:rPr>
        <w:t xml:space="preserve">, if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1</m:t>
            </m:r>
            <m:r>
              <m:rPr/>
              <w:rPr>
                <w:rFonts w:hint="eastAsia" w:ascii="Cambria Math" w:hAnsi="Cambria Math" w:eastAsia="宋体"/>
                <w:sz w:val="20"/>
                <w:szCs w:val="20"/>
                <w:lang w:val="en-US" w:eastAsia="zh-CN"/>
              </w:rPr>
              <m:t>/</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i/>
          <w:iCs/>
          <w:sz w:val="20"/>
          <w:szCs w:val="20"/>
        </w:rPr>
        <w:t>-</w:t>
      </w:r>
      <w:r>
        <w:rPr>
          <w:rFonts w:ascii="Times New Roman" w:hAnsi="Times New Roman" w:eastAsia="宋体"/>
          <w:i/>
          <w:iCs/>
          <w:sz w:val="20"/>
          <w:szCs w:val="20"/>
          <w:vertAlign w:val="subscript"/>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eastAsia"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1</m:t>
            </m:r>
            <m:r>
              <m:rPr/>
              <w:rPr>
                <w:rFonts w:hint="eastAsia" w:ascii="Cambria Math" w:hAnsi="Cambria Math" w:eastAsia="宋体"/>
                <w:sz w:val="20"/>
                <w:szCs w:val="20"/>
                <w:lang w:val="en-US" w:eastAsia="zh-CN"/>
              </w:rPr>
              <m:t>/</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UE will stop transmitting SRS in both resource sets.</w:t>
      </w:r>
    </w:p>
    <w:p>
      <w:pPr>
        <w:numPr>
          <w:ilvl w:val="0"/>
          <w:numId w:val="9"/>
        </w:numPr>
        <w:adjustRightInd w:val="0"/>
        <w:snapToGrid w:val="0"/>
        <w:spacing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Option 2: UE calculate the RSRP change details using the updated pathloss reference, i.e., the RSRP change of resource set 1 refer to the difference of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sz w:val="20"/>
          <w:szCs w:val="20"/>
          <w:vertAlign w:val="subscript"/>
        </w:rPr>
        <w:t xml:space="preserve"> </w:t>
      </w:r>
      <w:r>
        <w:rPr>
          <w:rFonts w:ascii="Times New Roman" w:hAnsi="Times New Roman" w:eastAsia="宋体"/>
          <w:sz w:val="20"/>
          <w:szCs w:val="20"/>
        </w:rPr>
        <w:t>and</w:t>
      </w:r>
      <w:r>
        <w:rPr>
          <w:rFonts w:ascii="Times New Roman" w:hAnsi="Times New Roman" w:eastAsia="宋体"/>
          <w:sz w:val="20"/>
          <w:szCs w:val="20"/>
          <w:vertAlign w:val="subscript"/>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3</m:t>
            </m:r>
            <m:ctrlPr>
              <w:rPr>
                <w:rFonts w:ascii="Cambria Math" w:hAnsi="Cambria Math" w:eastAsia="宋体"/>
                <w:sz w:val="20"/>
                <w:szCs w:val="20"/>
              </w:rPr>
            </m:ctrlPr>
          </m:sup>
        </m:sSubSup>
      </m:oMath>
      <w:r>
        <w:rPr>
          <w:rFonts w:ascii="Times New Roman" w:hAnsi="Times New Roman" w:eastAsia="宋体"/>
          <w:sz w:val="20"/>
          <w:szCs w:val="20"/>
        </w:rPr>
        <w:t xml:space="preserve">, the RSRP change of resource set 2 refers to the difference of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sz w:val="20"/>
          <w:szCs w:val="20"/>
          <w:vertAlign w:val="subscript"/>
        </w:rPr>
        <w:t xml:space="preserve"> </w:t>
      </w:r>
      <w:r>
        <w:rPr>
          <w:rFonts w:ascii="Times New Roman" w:hAnsi="Times New Roman" w:eastAsia="宋体"/>
          <w:sz w:val="20"/>
          <w:szCs w:val="20"/>
        </w:rPr>
        <w:t>and</w:t>
      </w:r>
      <w:r>
        <w:rPr>
          <w:rFonts w:ascii="Times New Roman" w:hAnsi="Times New Roman" w:eastAsia="宋体"/>
          <w:sz w:val="20"/>
          <w:szCs w:val="20"/>
          <w:vertAlign w:val="subscript"/>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4</m:t>
            </m:r>
            <m:ctrlPr>
              <w:rPr>
                <w:rFonts w:ascii="Cambria Math" w:hAnsi="Cambria Math" w:eastAsia="宋体"/>
                <w:sz w:val="20"/>
                <w:szCs w:val="20"/>
              </w:rPr>
            </m:ctrlPr>
          </m:sup>
        </m:sSubSup>
      </m:oMath>
      <w:r>
        <w:rPr>
          <w:rFonts w:ascii="Times New Roman" w:hAnsi="Times New Roman" w:eastAsia="宋体"/>
          <w:sz w:val="20"/>
          <w:szCs w:val="20"/>
        </w:rPr>
        <w:t xml:space="preserve">. </w:t>
      </w:r>
    </w:p>
    <w:p>
      <w:pPr>
        <w:adjustRightInd w:val="0"/>
        <w:snapToGrid w:val="0"/>
        <w:spacing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With this </w:t>
      </w:r>
      <w:r>
        <w:rPr>
          <w:rFonts w:ascii="Times New Roman" w:hAnsi="Times New Roman" w:eastAsia="宋体"/>
          <w:sz w:val="20"/>
          <w:szCs w:val="20"/>
        </w:rPr>
        <w:t>optio</w:t>
      </w:r>
      <w:r>
        <w:rPr>
          <w:rFonts w:hint="eastAsia" w:ascii="Times New Roman" w:hAnsi="Times New Roman" w:eastAsia="宋体"/>
          <w:sz w:val="20"/>
          <w:szCs w:val="20"/>
        </w:rPr>
        <w:t>n</w:t>
      </w:r>
      <w:r>
        <w:rPr>
          <w:rFonts w:ascii="Times New Roman" w:hAnsi="Times New Roman" w:eastAsia="宋体"/>
          <w:sz w:val="20"/>
          <w:szCs w:val="20"/>
        </w:rPr>
        <w:t xml:space="preserve">, on one hand, UE can transmit SRS in different resource sets separately, i.e., if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hint="eastAsia" w:ascii="Times New Roman" w:hAnsi="Times New Roman" w:eastAsia="宋体"/>
          <w:sz w:val="20"/>
          <w:szCs w:val="20"/>
          <w:lang w:val="en-US" w:eastAsia="zh-CN"/>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3</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xml:space="preserve">, UE will stop transmitting SRS in resource set 1, and if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2</m:t>
            </m:r>
            <m:ctrlPr>
              <w:rPr>
                <w:rFonts w:ascii="Cambria Math" w:hAnsi="Cambria Math" w:eastAsia="宋体"/>
                <w:sz w:val="20"/>
                <w:szCs w:val="20"/>
              </w:rPr>
            </m:ctrlPr>
          </m:sup>
        </m:sSubSup>
      </m:oMath>
      <w:r>
        <w:rPr>
          <w:rFonts w:hint="eastAsia" w:ascii="Times New Roman" w:hAnsi="Times New Roman" w:eastAsia="宋体"/>
          <w:sz w:val="20"/>
          <w:szCs w:val="20"/>
          <w:lang w:val="en-US" w:eastAsia="zh-CN"/>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4</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xml:space="preserve">, UE will stop transmitting SRS in resource set 2. On the other hand, UE can transmit SRS with the same threshold validity criterion, i.e., if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hint="eastAsia" w:ascii="Times New Roman" w:hAnsi="Times New Roman" w:eastAsia="宋体"/>
          <w:sz w:val="20"/>
          <w:szCs w:val="20"/>
          <w:lang w:val="en-US" w:eastAsia="zh-CN"/>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3</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i/>
          <w:iCs/>
          <w:sz w:val="20"/>
          <w:szCs w:val="20"/>
        </w:rPr>
        <w:t xml:space="preserve"> </w:t>
      </w:r>
      <w:r>
        <w:rPr>
          <w:rFonts w:ascii="Times New Roman" w:hAnsi="Times New Roman" w:eastAsia="宋体"/>
          <w:sz w:val="20"/>
          <w:szCs w:val="20"/>
        </w:rPr>
        <w:t xml:space="preserve">or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2</m:t>
            </m:r>
            <m:ctrlPr>
              <w:rPr>
                <w:rFonts w:ascii="Cambria Math" w:hAnsi="Cambria Math" w:eastAsia="宋体"/>
                <w:sz w:val="20"/>
                <w:szCs w:val="20"/>
              </w:rPr>
            </m:ctrlPr>
          </m:sup>
        </m:sSubSup>
      </m:oMath>
      <w:r>
        <w:rPr>
          <w:rFonts w:hint="eastAsia" w:ascii="Times New Roman" w:hAnsi="Times New Roman" w:eastAsia="宋体"/>
          <w:sz w:val="20"/>
          <w:szCs w:val="20"/>
          <w:lang w:val="en-US" w:eastAsia="zh-CN"/>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4</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xml:space="preserve">, UE will stop transmitting SRS in both resource sets. From another perspective, UE can transmit SRS in different SRS resource set based on the average RSRP changes. Specifically, UE can store the RSRP as the average of pathloss reference_1 and pathloss reference_2 at time </w:t>
      </w:r>
      <w:r>
        <w:rPr>
          <w:rFonts w:ascii="Times New Roman" w:hAnsi="Times New Roman" w:eastAsia="宋体"/>
          <w:i/>
          <w:iCs/>
          <w:sz w:val="20"/>
          <w:szCs w:val="20"/>
        </w:rPr>
        <w:t>t</w:t>
      </w:r>
      <w:r>
        <w:rPr>
          <w:rFonts w:ascii="Times New Roman" w:hAnsi="Times New Roman" w:eastAsia="宋体"/>
          <w:i/>
          <w:iCs/>
          <w:sz w:val="20"/>
          <w:szCs w:val="20"/>
          <w:vertAlign w:val="subscript"/>
        </w:rPr>
        <w:t>0</w:t>
      </w:r>
      <w:r>
        <w:rPr>
          <w:rFonts w:ascii="Times New Roman" w:hAnsi="Times New Roman" w:eastAsia="宋体"/>
          <w:sz w:val="20"/>
          <w:szCs w:val="20"/>
        </w:rPr>
        <w:t xml:space="preserve">, i.e., the stored RSRP is </w:t>
      </w:r>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PL1</m:t>
            </m:r>
            <m:ctrlPr>
              <w:rPr>
                <w:rFonts w:ascii="Cambria Math" w:hAnsi="Cambria Math" w:eastAsia="宋体"/>
                <w:sz w:val="20"/>
                <w:szCs w:val="20"/>
              </w:rPr>
            </m:ctrlPr>
          </m:sup>
        </m:sSubSup>
      </m:oMath>
      <w:r>
        <w:rPr>
          <w:rFonts w:ascii="Times New Roman" w:hAnsi="Times New Roman" w:eastAsia="宋体"/>
          <w:i/>
          <w:iCs/>
          <w:sz w:val="20"/>
          <w:szCs w:val="20"/>
        </w:rPr>
        <w:t>+</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i/>
          <w:iCs/>
          <w:sz w:val="20"/>
          <w:szCs w:val="20"/>
        </w:rPr>
        <w:t>)/2</w:t>
      </w:r>
      <w:r>
        <w:rPr>
          <w:rFonts w:ascii="Times New Roman" w:hAnsi="Times New Roman" w:eastAsia="宋体"/>
          <w:sz w:val="20"/>
          <w:szCs w:val="20"/>
        </w:rPr>
        <w:t xml:space="preserve">, denote as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1</m:t>
            </m:r>
            <m:r>
              <m:rPr/>
              <w:rPr>
                <w:rFonts w:hint="eastAsia" w:ascii="Cambria Math" w:hAnsi="Cambria Math" w:eastAsia="宋体"/>
                <w:sz w:val="20"/>
                <w:szCs w:val="20"/>
                <w:lang w:val="en-US" w:eastAsia="zh-CN"/>
              </w:rPr>
              <m:t>/</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sz w:val="20"/>
          <w:szCs w:val="20"/>
        </w:rPr>
        <w:t>, and the RSRP of pathloss reference_3 and pathloss reference_4 at time</w:t>
      </w:r>
      <w:r>
        <w:rPr>
          <w:rFonts w:ascii="Times New Roman" w:hAnsi="Times New Roman" w:eastAsia="宋体"/>
          <w:i/>
          <w:iCs/>
          <w:sz w:val="20"/>
          <w:szCs w:val="20"/>
        </w:rPr>
        <w:t xml:space="preserve"> t</w:t>
      </w:r>
      <w:r>
        <w:rPr>
          <w:rFonts w:ascii="Times New Roman" w:hAnsi="Times New Roman" w:eastAsia="宋体"/>
          <w:i/>
          <w:iCs/>
          <w:sz w:val="20"/>
          <w:szCs w:val="20"/>
          <w:vertAlign w:val="subscript"/>
        </w:rPr>
        <w:t>1</w:t>
      </w:r>
      <w:r>
        <w:rPr>
          <w:rFonts w:ascii="Times New Roman" w:hAnsi="Times New Roman" w:eastAsia="宋体"/>
          <w:sz w:val="20"/>
          <w:szCs w:val="20"/>
        </w:rPr>
        <w:t xml:space="preserve"> is</w:t>
      </w:r>
      <w:r>
        <w:rPr>
          <w:rFonts w:ascii="Times New Roman" w:hAnsi="Times New Roman" w:eastAsia="宋体"/>
          <w:i/>
          <w:iCs/>
          <w:sz w:val="20"/>
          <w:szCs w:val="20"/>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3</m:t>
            </m:r>
            <m:ctrlPr>
              <w:rPr>
                <w:rFonts w:ascii="Cambria Math" w:hAnsi="Cambria Math" w:eastAsia="宋体"/>
                <w:sz w:val="20"/>
                <w:szCs w:val="20"/>
              </w:rPr>
            </m:ctrlPr>
          </m:sup>
        </m:sSubSup>
      </m:oMath>
      <w:r>
        <w:rPr>
          <w:rFonts w:ascii="Times New Roman" w:hAnsi="Times New Roman" w:eastAsia="宋体"/>
          <w:i/>
          <w:iCs/>
          <w:sz w:val="20"/>
          <w:szCs w:val="20"/>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t1</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4</m:t>
            </m:r>
            <m:ctrlPr>
              <w:rPr>
                <w:rFonts w:ascii="Cambria Math" w:hAnsi="Cambria Math" w:eastAsia="宋体"/>
                <w:sz w:val="20"/>
                <w:szCs w:val="20"/>
              </w:rPr>
            </m:ctrlPr>
          </m:sup>
        </m:sSubSup>
      </m:oMath>
      <w:r>
        <w:rPr>
          <w:rFonts w:ascii="Times New Roman" w:hAnsi="Times New Roman" w:eastAsia="宋体"/>
          <w:i/>
          <w:iCs/>
          <w:sz w:val="20"/>
          <w:szCs w:val="20"/>
        </w:rPr>
        <w:t>)/2</w:t>
      </w:r>
      <w:r>
        <w:rPr>
          <w:rFonts w:ascii="Times New Roman" w:hAnsi="Times New Roman" w:eastAsia="宋体"/>
          <w:sz w:val="20"/>
          <w:szCs w:val="20"/>
        </w:rPr>
        <w:t xml:space="preserve">, denote as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eastAsia"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3/4</m:t>
            </m:r>
            <m:ctrlPr>
              <w:rPr>
                <w:rFonts w:ascii="Cambria Math" w:hAnsi="Cambria Math" w:eastAsia="宋体"/>
                <w:sz w:val="20"/>
                <w:szCs w:val="20"/>
              </w:rPr>
            </m:ctrlPr>
          </m:sup>
        </m:sSubSup>
      </m:oMath>
      <w:r>
        <w:rPr>
          <w:rFonts w:ascii="Times New Roman" w:hAnsi="Times New Roman" w:eastAsia="宋体"/>
          <w:sz w:val="20"/>
          <w:szCs w:val="20"/>
        </w:rPr>
        <w:t>, if</w:t>
      </w:r>
      <w:r>
        <w:rPr>
          <w:rFonts w:ascii="Times New Roman" w:hAnsi="Times New Roman" w:eastAsia="宋体"/>
          <w:i/>
          <w:iCs/>
          <w:sz w:val="20"/>
          <w:szCs w:val="20"/>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default" w:ascii="Cambria Math" w:hAnsi="Cambria Math" w:eastAsia="宋体"/>
                <w:sz w:val="20"/>
                <w:szCs w:val="20"/>
                <w:lang w:val="en-US" w:eastAsia="zh-CN"/>
              </w:rPr>
              <m:t>0</m:t>
            </m:r>
            <m:ctrlPr>
              <w:rPr>
                <w:rFonts w:ascii="Cambria Math" w:hAnsi="Cambria Math" w:eastAsia="宋体"/>
                <w:sz w:val="20"/>
                <w:szCs w:val="20"/>
              </w:rPr>
            </m:ctrlPr>
          </m:sub>
          <m:sup>
            <m:r>
              <m:rPr/>
              <w:rPr>
                <w:rFonts w:ascii="Cambria Math" w:hAnsi="Cambria Math" w:eastAsia="宋体"/>
                <w:sz w:val="20"/>
                <w:szCs w:val="20"/>
              </w:rPr>
              <m:t>PL</m:t>
            </m:r>
            <m:r>
              <m:rPr/>
              <w:rPr>
                <w:rFonts w:hint="default" w:ascii="Cambria Math" w:hAnsi="Cambria Math" w:eastAsia="宋体"/>
                <w:sz w:val="20"/>
                <w:szCs w:val="20"/>
                <w:lang w:val="en-US" w:eastAsia="zh-CN"/>
              </w:rPr>
              <m:t>1</m:t>
            </m:r>
            <m:r>
              <m:rPr/>
              <w:rPr>
                <w:rFonts w:hint="eastAsia" w:ascii="Cambria Math" w:hAnsi="Cambria Math" w:eastAsia="宋体"/>
                <w:sz w:val="20"/>
                <w:szCs w:val="20"/>
                <w:lang w:val="en-US" w:eastAsia="zh-CN"/>
              </w:rPr>
              <m:t>/</m:t>
            </m:r>
            <m:r>
              <m:rPr/>
              <w:rPr>
                <w:rFonts w:hint="default" w:ascii="Cambria Math" w:hAnsi="Cambria Math" w:eastAsia="宋体"/>
                <w:sz w:val="20"/>
                <w:szCs w:val="20"/>
                <w:lang w:val="en-US" w:eastAsia="zh-CN"/>
              </w:rPr>
              <m:t>2</m:t>
            </m:r>
            <m:ctrlPr>
              <w:rPr>
                <w:rFonts w:ascii="Cambria Math" w:hAnsi="Cambria Math" w:eastAsia="宋体"/>
                <w:sz w:val="20"/>
                <w:szCs w:val="20"/>
              </w:rPr>
            </m:ctrlPr>
          </m:sup>
        </m:sSubSup>
      </m:oMath>
      <w:r>
        <w:rPr>
          <w:rFonts w:ascii="Times New Roman" w:hAnsi="Times New Roman" w:eastAsia="宋体"/>
          <w:i/>
          <w:iCs/>
          <w:sz w:val="20"/>
          <w:szCs w:val="20"/>
          <w:vertAlign w:val="subscript"/>
        </w:rPr>
        <w:t xml:space="preserve"> </w:t>
      </w:r>
      <w:r>
        <w:rPr>
          <w:rFonts w:ascii="Times New Roman" w:hAnsi="Times New Roman" w:eastAsia="宋体"/>
          <w:i/>
          <w:iCs/>
          <w:sz w:val="20"/>
          <w:szCs w:val="20"/>
        </w:rPr>
        <w:t>-</w:t>
      </w:r>
      <w:r>
        <w:rPr>
          <w:rFonts w:ascii="Times New Roman" w:hAnsi="Times New Roman" w:eastAsia="宋体"/>
          <w:i/>
          <w:iCs/>
          <w:sz w:val="20"/>
          <w:szCs w:val="20"/>
          <w:vertAlign w:val="subscript"/>
        </w:rPr>
        <w:t xml:space="preserve"> </w:t>
      </w:r>
      <m:oMath>
        <m:sSubSup>
          <m:sSubSupPr>
            <m:ctrlPr>
              <w:rPr>
                <w:rFonts w:ascii="Cambria Math" w:hAnsi="Cambria Math" w:eastAsia="宋体"/>
                <w:sz w:val="20"/>
                <w:szCs w:val="20"/>
              </w:rPr>
            </m:ctrlPr>
          </m:sSubSupPr>
          <m:e>
            <m:r>
              <m:rPr/>
              <w:rPr>
                <w:rFonts w:ascii="Cambria Math" w:hAnsi="Cambria Math" w:eastAsia="宋体"/>
                <w:sz w:val="20"/>
                <w:szCs w:val="20"/>
              </w:rPr>
              <m:t>R</m:t>
            </m:r>
            <m:ctrlPr>
              <w:rPr>
                <w:rFonts w:ascii="Cambria Math" w:hAnsi="Cambria Math" w:eastAsia="宋体"/>
                <w:sz w:val="20"/>
                <w:szCs w:val="20"/>
              </w:rPr>
            </m:ctrlPr>
          </m:e>
          <m:sub>
            <m:r>
              <m:rPr/>
              <w:rPr>
                <w:rFonts w:ascii="Cambria Math" w:hAnsi="Cambria Math" w:eastAsia="宋体"/>
                <w:sz w:val="20"/>
                <w:szCs w:val="20"/>
              </w:rPr>
              <m:t>t</m:t>
            </m:r>
            <m:r>
              <m:rPr/>
              <w:rPr>
                <w:rFonts w:hint="eastAsia" w:ascii="Cambria Math" w:hAnsi="Cambria Math" w:eastAsia="宋体"/>
                <w:sz w:val="20"/>
                <w:szCs w:val="20"/>
                <w:lang w:val="en-US" w:eastAsia="zh-CN"/>
              </w:rPr>
              <m:t>1</m:t>
            </m:r>
            <m:ctrlPr>
              <w:rPr>
                <w:rFonts w:ascii="Cambria Math" w:hAnsi="Cambria Math" w:eastAsia="宋体"/>
                <w:sz w:val="20"/>
                <w:szCs w:val="20"/>
              </w:rPr>
            </m:ctrlPr>
          </m:sub>
          <m:sup>
            <m:r>
              <m:rPr/>
              <w:rPr>
                <w:rFonts w:ascii="Cambria Math" w:hAnsi="Cambria Math" w:eastAsia="宋体"/>
                <w:sz w:val="20"/>
                <w:szCs w:val="20"/>
              </w:rPr>
              <m:t>PL</m:t>
            </m:r>
            <m:r>
              <m:rPr/>
              <w:rPr>
                <w:rFonts w:hint="eastAsia" w:ascii="Cambria Math" w:hAnsi="Cambria Math" w:eastAsia="宋体"/>
                <w:sz w:val="20"/>
                <w:szCs w:val="20"/>
                <w:lang w:val="en-US" w:eastAsia="zh-CN"/>
              </w:rPr>
              <m:t>3/4</m:t>
            </m:r>
            <m:ctrlPr>
              <w:rPr>
                <w:rFonts w:ascii="Cambria Math" w:hAnsi="Cambria Math" w:eastAsia="宋体"/>
                <w:sz w:val="20"/>
                <w:szCs w:val="20"/>
              </w:rPr>
            </m:ctrlPr>
          </m:sup>
        </m:sSubSup>
      </m:oMath>
      <w:r>
        <w:rPr>
          <w:rFonts w:ascii="Times New Roman" w:hAnsi="Times New Roman" w:eastAsia="宋体"/>
          <w:i/>
          <w:iCs/>
          <w:sz w:val="20"/>
          <w:szCs w:val="20"/>
        </w:rPr>
        <w:t>|&gt;R</w:t>
      </w:r>
      <w:r>
        <w:rPr>
          <w:rFonts w:ascii="Times New Roman" w:hAnsi="Times New Roman" w:eastAsia="宋体"/>
          <w:i/>
          <w:iCs/>
          <w:sz w:val="20"/>
          <w:szCs w:val="20"/>
          <w:vertAlign w:val="subscript"/>
        </w:rPr>
        <w:t>th</w:t>
      </w:r>
      <w:r>
        <w:rPr>
          <w:rFonts w:ascii="Times New Roman" w:hAnsi="Times New Roman" w:eastAsia="宋体"/>
          <w:sz w:val="20"/>
          <w:szCs w:val="20"/>
        </w:rPr>
        <w:t>, UE will stop transmitting SRS in both resource sets.</w:t>
      </w:r>
    </w:p>
    <w:p>
      <w:pPr>
        <w:adjustRightInd w:val="0"/>
        <w:snapToGrid w:val="0"/>
        <w:spacing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The above analyses adopt the SSB measured by UE as pathloss reference for TA validation, alternatively, UE can adopt the pathloss RS for both SRS transmission power calculation and for TA validation. Therefore, concerning which RS is the reference RS for the RSRP change threshold, we have the following proposal:</w:t>
      </w:r>
    </w:p>
    <w:p>
      <w:pPr>
        <w:adjustRightInd w:val="0"/>
        <w:snapToGrid w:val="0"/>
        <w:spacing w:after="0" w:line="240" w:lineRule="auto"/>
        <w:jc w:val="both"/>
        <w:rPr>
          <w:rFonts w:ascii="Times New Roman" w:hAnsi="Times New Roman" w:eastAsia="宋体"/>
          <w:b/>
          <w:bCs/>
          <w:i/>
          <w:iCs/>
          <w:sz w:val="20"/>
          <w:szCs w:val="20"/>
        </w:rPr>
      </w:pPr>
      <w:bookmarkStart w:id="19" w:name="_Ref12656"/>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2</w:t>
      </w:r>
      <w:r>
        <w:rPr>
          <w:rFonts w:ascii="Times New Roman" w:hAnsi="Times New Roman"/>
          <w:b/>
          <w:bCs/>
          <w:i/>
          <w:iCs/>
          <w:sz w:val="20"/>
          <w:szCs w:val="20"/>
        </w:rPr>
        <w:fldChar w:fldCharType="end"/>
      </w:r>
      <w:r>
        <w:rPr>
          <w:rFonts w:ascii="Times New Roman" w:hAnsi="Times New Roman"/>
          <w:b/>
          <w:bCs/>
          <w:i/>
          <w:iCs/>
          <w:sz w:val="20"/>
          <w:szCs w:val="20"/>
        </w:rPr>
        <w:t xml:space="preserve">: </w:t>
      </w:r>
      <w:r>
        <w:rPr>
          <w:rFonts w:hint="eastAsia" w:ascii="Times New Roman" w:hAnsi="Times New Roman" w:eastAsia="宋体"/>
          <w:b/>
          <w:bCs/>
          <w:i/>
          <w:iCs/>
          <w:sz w:val="20"/>
          <w:szCs w:val="20"/>
        </w:rPr>
        <w:t xml:space="preserve">Concerning the reference RS selection of the RSRP change threshold for TA validation, the following options </w:t>
      </w:r>
      <w:r>
        <w:rPr>
          <w:rFonts w:ascii="Times New Roman" w:hAnsi="Times New Roman" w:eastAsia="宋体"/>
          <w:b/>
          <w:bCs/>
          <w:i/>
          <w:iCs/>
          <w:sz w:val="20"/>
          <w:szCs w:val="20"/>
        </w:rPr>
        <w:t>should be down-selected</w:t>
      </w:r>
      <w:r>
        <w:rPr>
          <w:rFonts w:hint="eastAsia" w:ascii="Times New Roman" w:hAnsi="Times New Roman" w:eastAsia="宋体"/>
          <w:b/>
          <w:bCs/>
          <w:i/>
          <w:iCs/>
          <w:sz w:val="20"/>
          <w:szCs w:val="20"/>
        </w:rPr>
        <w:t>:</w:t>
      </w:r>
      <w:bookmarkEnd w:id="19"/>
    </w:p>
    <w:p>
      <w:pPr>
        <w:pStyle w:val="94"/>
        <w:numPr>
          <w:ilvl w:val="1"/>
          <w:numId w:val="5"/>
        </w:numPr>
        <w:snapToGrid w:val="0"/>
        <w:spacing w:after="0" w:line="240" w:lineRule="auto"/>
        <w:jc w:val="both"/>
        <w:rPr>
          <w:b/>
          <w:bCs/>
          <w:i/>
          <w:iCs/>
          <w:sz w:val="20"/>
          <w:lang w:eastAsia="zh-CN"/>
        </w:rPr>
      </w:pPr>
      <w:r>
        <w:rPr>
          <w:rFonts w:hint="eastAsia"/>
          <w:b/>
          <w:bCs/>
          <w:i/>
          <w:iCs/>
          <w:sz w:val="20"/>
          <w:lang w:eastAsia="zh-CN"/>
        </w:rPr>
        <w:t xml:space="preserve">For the case </w:t>
      </w:r>
      <w:r>
        <w:rPr>
          <w:b/>
          <w:bCs/>
          <w:i/>
          <w:iCs/>
          <w:sz w:val="20"/>
          <w:lang w:eastAsia="zh-CN"/>
        </w:rPr>
        <w:t>UE selects ONE pathloss reference for different SRS resource sets</w:t>
      </w:r>
    </w:p>
    <w:p>
      <w:pPr>
        <w:numPr>
          <w:ilvl w:val="1"/>
          <w:numId w:val="4"/>
        </w:numPr>
        <w:adjustRightInd w:val="0"/>
        <w:snapToGrid w:val="0"/>
        <w:spacing w:after="0" w:line="240" w:lineRule="auto"/>
        <w:contextualSpacing/>
        <w:jc w:val="both"/>
        <w:rPr>
          <w:rFonts w:ascii="Times New Roman" w:hAnsi="Times New Roman" w:eastAsia="宋体"/>
          <w:b/>
          <w:bCs/>
          <w:i/>
          <w:iCs/>
          <w:sz w:val="20"/>
          <w:szCs w:val="20"/>
        </w:rPr>
      </w:pPr>
      <w:r>
        <w:rPr>
          <w:rFonts w:ascii="Times New Roman" w:hAnsi="Times New Roman" w:eastAsia="宋体"/>
          <w:b/>
          <w:bCs/>
          <w:i/>
          <w:iCs/>
          <w:sz w:val="20"/>
          <w:szCs w:val="20"/>
        </w:rPr>
        <w:t>Option 1: RSRP change is the RSRP difference based on the same pathloss reference from the last cell at different time</w:t>
      </w:r>
    </w:p>
    <w:p>
      <w:pPr>
        <w:numPr>
          <w:ilvl w:val="1"/>
          <w:numId w:val="4"/>
        </w:numPr>
        <w:adjustRightInd w:val="0"/>
        <w:snapToGrid w:val="0"/>
        <w:spacing w:after="0" w:line="240" w:lineRule="auto"/>
        <w:contextualSpacing/>
        <w:jc w:val="both"/>
        <w:rPr>
          <w:rFonts w:ascii="Times New Roman" w:hAnsi="Times New Roman" w:eastAsia="宋体"/>
          <w:b/>
          <w:bCs/>
          <w:i/>
          <w:iCs/>
          <w:sz w:val="20"/>
          <w:szCs w:val="20"/>
        </w:rPr>
      </w:pPr>
      <w:r>
        <w:rPr>
          <w:rFonts w:ascii="Times New Roman" w:hAnsi="Times New Roman" w:eastAsia="宋体"/>
          <w:b/>
          <w:bCs/>
          <w:i/>
          <w:iCs/>
          <w:sz w:val="20"/>
          <w:szCs w:val="20"/>
        </w:rPr>
        <w:t xml:space="preserve">Option 2: RSRP change is the RSRP difference </w:t>
      </w:r>
      <w:r>
        <w:rPr>
          <w:rFonts w:hint="eastAsia" w:ascii="Times New Roman" w:hAnsi="Times New Roman" w:eastAsia="宋体"/>
          <w:b/>
          <w:bCs/>
          <w:i/>
          <w:iCs/>
          <w:sz w:val="20"/>
          <w:szCs w:val="20"/>
          <w:lang w:val="en-US" w:eastAsia="zh-CN"/>
        </w:rPr>
        <w:t xml:space="preserve">based on the different pathloss references from </w:t>
      </w:r>
      <w:r>
        <w:rPr>
          <w:rFonts w:ascii="Times New Roman" w:hAnsi="Times New Roman" w:eastAsia="宋体"/>
          <w:b/>
          <w:bCs/>
          <w:i/>
          <w:iCs/>
          <w:sz w:val="20"/>
          <w:szCs w:val="20"/>
        </w:rPr>
        <w:t>the last cell and the new camp cell</w:t>
      </w:r>
    </w:p>
    <w:p>
      <w:pPr>
        <w:pStyle w:val="94"/>
        <w:numPr>
          <w:ilvl w:val="1"/>
          <w:numId w:val="5"/>
        </w:numPr>
        <w:snapToGrid w:val="0"/>
        <w:spacing w:after="0" w:line="240" w:lineRule="auto"/>
        <w:jc w:val="both"/>
        <w:rPr>
          <w:b/>
          <w:bCs/>
          <w:i/>
          <w:iCs/>
          <w:sz w:val="20"/>
          <w:lang w:eastAsia="zh-CN"/>
        </w:rPr>
      </w:pPr>
      <w:r>
        <w:rPr>
          <w:rFonts w:hint="eastAsia"/>
          <w:b/>
          <w:bCs/>
          <w:i/>
          <w:iCs/>
          <w:sz w:val="20"/>
          <w:lang w:eastAsia="zh-CN"/>
        </w:rPr>
        <w:t xml:space="preserve">For the case </w:t>
      </w:r>
      <w:r>
        <w:rPr>
          <w:b/>
          <w:bCs/>
          <w:i/>
          <w:iCs/>
          <w:sz w:val="20"/>
          <w:lang w:eastAsia="zh-CN"/>
        </w:rPr>
        <w:t xml:space="preserve">UE selects </w:t>
      </w:r>
      <w:r>
        <w:rPr>
          <w:rFonts w:hint="eastAsia"/>
          <w:b/>
          <w:bCs/>
          <w:i/>
          <w:iCs/>
          <w:sz w:val="20"/>
          <w:lang w:eastAsia="zh-CN"/>
        </w:rPr>
        <w:t xml:space="preserve">different </w:t>
      </w:r>
      <w:r>
        <w:rPr>
          <w:b/>
          <w:bCs/>
          <w:i/>
          <w:iCs/>
          <w:sz w:val="20"/>
          <w:lang w:eastAsia="zh-CN"/>
        </w:rPr>
        <w:t>pathloss reference</w:t>
      </w:r>
      <w:r>
        <w:rPr>
          <w:rFonts w:hint="eastAsia"/>
          <w:b/>
          <w:bCs/>
          <w:i/>
          <w:iCs/>
          <w:sz w:val="20"/>
          <w:lang w:eastAsia="zh-CN"/>
        </w:rPr>
        <w:t>s</w:t>
      </w:r>
      <w:r>
        <w:rPr>
          <w:b/>
          <w:bCs/>
          <w:i/>
          <w:iCs/>
          <w:sz w:val="20"/>
          <w:lang w:eastAsia="zh-CN"/>
        </w:rPr>
        <w:t xml:space="preserve"> for different SRS resource sets</w:t>
      </w:r>
    </w:p>
    <w:p>
      <w:pPr>
        <w:numPr>
          <w:ilvl w:val="1"/>
          <w:numId w:val="4"/>
        </w:numPr>
        <w:adjustRightInd w:val="0"/>
        <w:snapToGrid w:val="0"/>
        <w:spacing w:after="0" w:line="240" w:lineRule="auto"/>
        <w:contextualSpacing/>
        <w:jc w:val="both"/>
        <w:rPr>
          <w:rFonts w:ascii="Times New Roman" w:hAnsi="Times New Roman" w:eastAsia="宋体"/>
          <w:b/>
          <w:bCs/>
          <w:i/>
          <w:iCs/>
          <w:sz w:val="20"/>
          <w:szCs w:val="20"/>
        </w:rPr>
      </w:pPr>
      <w:r>
        <w:rPr>
          <w:rFonts w:ascii="Times New Roman" w:hAnsi="Times New Roman" w:eastAsia="宋体"/>
          <w:b/>
          <w:bCs/>
          <w:i/>
          <w:iCs/>
          <w:sz w:val="20"/>
          <w:szCs w:val="20"/>
        </w:rPr>
        <w:t>Option 1: RSRP change is the RSRP difference based on the same pathloss reference from the last cell at different time</w:t>
      </w:r>
    </w:p>
    <w:p>
      <w:pPr>
        <w:numPr>
          <w:ilvl w:val="1"/>
          <w:numId w:val="4"/>
        </w:numPr>
        <w:adjustRightInd w:val="0"/>
        <w:snapToGrid w:val="0"/>
        <w:spacing w:after="0" w:line="240" w:lineRule="auto"/>
        <w:contextualSpacing/>
        <w:jc w:val="both"/>
        <w:rPr>
          <w:rFonts w:ascii="Times New Roman" w:hAnsi="Times New Roman" w:eastAsia="宋体"/>
          <w:b/>
          <w:bCs/>
          <w:i/>
          <w:iCs/>
          <w:sz w:val="20"/>
          <w:szCs w:val="20"/>
        </w:rPr>
      </w:pPr>
      <w:r>
        <w:rPr>
          <w:rFonts w:ascii="Times New Roman" w:hAnsi="Times New Roman" w:eastAsia="宋体"/>
          <w:b/>
          <w:bCs/>
          <w:i/>
          <w:iCs/>
          <w:sz w:val="20"/>
          <w:szCs w:val="20"/>
        </w:rPr>
        <w:t xml:space="preserve">Option 2: RSRP change is the RSRP difference </w:t>
      </w:r>
      <w:r>
        <w:rPr>
          <w:rFonts w:hint="eastAsia" w:ascii="Times New Roman" w:hAnsi="Times New Roman" w:eastAsia="宋体"/>
          <w:b/>
          <w:bCs/>
          <w:i/>
          <w:iCs/>
          <w:sz w:val="20"/>
          <w:szCs w:val="20"/>
          <w:lang w:val="en-US" w:eastAsia="zh-CN"/>
        </w:rPr>
        <w:t xml:space="preserve">based on the different pathloss references from </w:t>
      </w:r>
      <w:r>
        <w:rPr>
          <w:rFonts w:ascii="Times New Roman" w:hAnsi="Times New Roman" w:eastAsia="宋体"/>
          <w:b/>
          <w:bCs/>
          <w:i/>
          <w:iCs/>
          <w:sz w:val="20"/>
          <w:szCs w:val="20"/>
        </w:rPr>
        <w:t>the last cell and the new camp cell</w:t>
      </w:r>
    </w:p>
    <w:p>
      <w:pPr>
        <w:numPr>
          <w:ilvl w:val="2"/>
          <w:numId w:val="4"/>
        </w:numPr>
        <w:adjustRightInd w:val="0"/>
        <w:snapToGrid w:val="0"/>
        <w:spacing w:after="0" w:line="240" w:lineRule="auto"/>
        <w:contextualSpacing/>
        <w:jc w:val="both"/>
        <w:rPr>
          <w:b/>
          <w:bCs/>
          <w:i/>
          <w:iCs/>
        </w:rPr>
      </w:pPr>
      <w:r>
        <w:rPr>
          <w:rFonts w:hint="eastAsia" w:ascii="Times New Roman" w:hAnsi="Times New Roman" w:eastAsia="宋体"/>
          <w:b/>
          <w:bCs/>
          <w:i/>
          <w:iCs/>
          <w:sz w:val="20"/>
          <w:szCs w:val="20"/>
          <w:lang w:val="en-US" w:eastAsia="zh-CN"/>
        </w:rPr>
        <w:t>the RSRP change threshold validation criterion can be applied for different SRS resource sets separately</w:t>
      </w:r>
    </w:p>
    <w:p>
      <w:pPr>
        <w:numPr>
          <w:ilvl w:val="2"/>
          <w:numId w:val="4"/>
        </w:numPr>
        <w:adjustRightInd w:val="0"/>
        <w:snapToGrid w:val="0"/>
        <w:spacing w:after="0" w:line="240" w:lineRule="auto"/>
        <w:contextualSpacing/>
        <w:jc w:val="both"/>
        <w:rPr>
          <w:b/>
          <w:bCs/>
          <w:i/>
          <w:iCs/>
        </w:rPr>
      </w:pPr>
      <w:r>
        <w:rPr>
          <w:rFonts w:hint="eastAsia" w:ascii="Times New Roman" w:hAnsi="Times New Roman" w:eastAsia="宋体"/>
          <w:b/>
          <w:bCs/>
          <w:i/>
          <w:iCs/>
          <w:sz w:val="20"/>
          <w:szCs w:val="20"/>
        </w:rPr>
        <w:t>UE can adopt the pathloss RS for both SRS transmission power calculation and for TA validation</w:t>
      </w:r>
    </w:p>
    <w:bookmarkEnd w:id="16"/>
    <w:p>
      <w:pPr>
        <w:pStyle w:val="4"/>
        <w:spacing w:after="140"/>
        <w:ind w:firstLine="241"/>
        <w:rPr>
          <w:lang w:val="en-US"/>
        </w:rPr>
      </w:pPr>
      <w:r>
        <w:rPr>
          <w:rFonts w:hint="eastAsia"/>
          <w:lang w:val="en-US"/>
        </w:rPr>
        <w:t xml:space="preserve">SRS transmission power control related configurations </w:t>
      </w:r>
    </w:p>
    <w:bookmarkEnd w:id="15"/>
    <w:p>
      <w:pPr>
        <w:adjustRightInd w:val="0"/>
        <w:snapToGrid w:val="0"/>
        <w:spacing w:after="180" w:afterLines="50" w:line="240" w:lineRule="auto"/>
        <w:rPr>
          <w:sz w:val="20"/>
          <w:szCs w:val="20"/>
        </w:rPr>
      </w:pPr>
      <w:r>
        <w:rPr>
          <w:rFonts w:hint="eastAsia" w:ascii="Times New Roman" w:hAnsi="Times New Roman"/>
          <w:sz w:val="20"/>
          <w:szCs w:val="20"/>
        </w:rPr>
        <w:t>Concerning the power control related configurations, the following proposal was agreed in last meeting:</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pStyle w:val="101"/>
              <w:overflowPunct/>
              <w:autoSpaceDE/>
              <w:autoSpaceDN/>
              <w:snapToGrid w:val="0"/>
              <w:spacing w:before="0" w:after="180" w:afterLines="50" w:line="240" w:lineRule="auto"/>
              <w:textAlignment w:val="auto"/>
              <w:rPr>
                <w:b/>
                <w:bCs/>
                <w:iCs/>
                <w:sz w:val="20"/>
                <w:szCs w:val="20"/>
                <w:lang w:val="en-GB"/>
              </w:rPr>
            </w:pPr>
            <w:r>
              <w:rPr>
                <w:sz w:val="20"/>
                <w:szCs w:val="20"/>
              </w:rPr>
              <w:t>For the power control of an SRS for positioning configuration in multiple cells for UEs in RRC_INACTIVE state, further study the following options:</w:t>
            </w:r>
          </w:p>
          <w:p>
            <w:pPr>
              <w:pStyle w:val="94"/>
              <w:numPr>
                <w:ilvl w:val="1"/>
                <w:numId w:val="5"/>
              </w:numPr>
              <w:snapToGrid w:val="0"/>
              <w:spacing w:afterLines="50" w:line="240" w:lineRule="auto"/>
              <w:jc w:val="both"/>
              <w:rPr>
                <w:sz w:val="20"/>
                <w:lang w:eastAsia="zh-CN"/>
              </w:rPr>
            </w:pPr>
            <w:r>
              <w:rPr>
                <w:sz w:val="20"/>
                <w:lang w:eastAsia="zh-CN"/>
              </w:rPr>
              <w:t xml:space="preserve">Option 1: Pathloss RS is absent in the configuration. </w:t>
            </w:r>
          </w:p>
          <w:p>
            <w:pPr>
              <w:pStyle w:val="94"/>
              <w:numPr>
                <w:ilvl w:val="2"/>
                <w:numId w:val="5"/>
              </w:numPr>
              <w:snapToGrid w:val="0"/>
              <w:spacing w:afterLines="50" w:line="240" w:lineRule="auto"/>
              <w:jc w:val="both"/>
              <w:rPr>
                <w:sz w:val="20"/>
                <w:lang w:eastAsia="zh-CN"/>
              </w:rPr>
            </w:pPr>
            <w:r>
              <w:rPr>
                <w:sz w:val="20"/>
                <w:lang w:eastAsia="zh-CN"/>
              </w:rPr>
              <w:t>FFS criterion on UE determination of pathloss RS (e.g., up to UE implementation, UE selects an SSB as the pathloss RS based on DL measurements from multiple SSBs of cells within the validity area, etc.).</w:t>
            </w:r>
            <w:r>
              <w:rPr>
                <w:rFonts w:hint="eastAsia"/>
                <w:sz w:val="20"/>
                <w:lang w:eastAsia="zh-CN"/>
              </w:rPr>
              <w:t xml:space="preserve"> </w:t>
            </w:r>
          </w:p>
          <w:p>
            <w:pPr>
              <w:pStyle w:val="94"/>
              <w:numPr>
                <w:ilvl w:val="1"/>
                <w:numId w:val="5"/>
              </w:numPr>
              <w:snapToGrid w:val="0"/>
              <w:spacing w:afterLines="50" w:line="240" w:lineRule="auto"/>
              <w:jc w:val="both"/>
              <w:rPr>
                <w:sz w:val="20"/>
                <w:lang w:eastAsia="zh-CN"/>
              </w:rPr>
            </w:pPr>
            <w:r>
              <w:rPr>
                <w:sz w:val="20"/>
                <w:lang w:eastAsia="zh-CN"/>
              </w:rPr>
              <w:t>Option</w:t>
            </w:r>
            <w:r>
              <w:rPr>
                <w:rFonts w:eastAsia="等线"/>
                <w:sz w:val="20"/>
                <w:lang w:eastAsia="zh-CN"/>
              </w:rPr>
              <w:t xml:space="preserve"> 2: </w:t>
            </w:r>
            <w:r>
              <w:rPr>
                <w:sz w:val="20"/>
                <w:lang w:eastAsia="zh-CN"/>
              </w:rPr>
              <w:t>Pathloss RS is provided in the configuration</w:t>
            </w:r>
          </w:p>
          <w:p>
            <w:pPr>
              <w:pStyle w:val="94"/>
              <w:numPr>
                <w:ilvl w:val="2"/>
                <w:numId w:val="5"/>
              </w:numPr>
              <w:snapToGrid w:val="0"/>
              <w:spacing w:afterLines="50" w:line="240" w:lineRule="auto"/>
              <w:jc w:val="both"/>
              <w:rPr>
                <w:rFonts w:eastAsiaTheme="minorEastAsia"/>
                <w:sz w:val="20"/>
                <w:lang w:eastAsia="zh-CN"/>
              </w:rPr>
            </w:pPr>
            <w:r>
              <w:rPr>
                <w:rFonts w:eastAsia="等线"/>
                <w:sz w:val="20"/>
                <w:lang w:eastAsia="zh-CN"/>
              </w:rPr>
              <w:t xml:space="preserve">FFS details on configuration (e.g., pathloss RS is configured as a cell-agnostic DL RS, pathloss RS is configured as a fixed SSB within the validity area, etc.), including whether the information is </w:t>
            </w:r>
            <w:r>
              <w:rPr>
                <w:sz w:val="20"/>
                <w:lang w:eastAsia="zh-CN"/>
              </w:rPr>
              <w:t xml:space="preserve">configured </w:t>
            </w:r>
            <w:r>
              <w:rPr>
                <w:rFonts w:eastAsia="等线"/>
                <w:sz w:val="20"/>
                <w:lang w:eastAsia="zh-CN"/>
              </w:rPr>
              <w:t>for all or a subset of cells within the validity area</w:t>
            </w:r>
            <w:r>
              <w:rPr>
                <w:rFonts w:hint="eastAsia" w:eastAsia="等线"/>
                <w:sz w:val="20"/>
                <w:lang w:eastAsia="zh-CN"/>
              </w:rPr>
              <w:t xml:space="preserve"> </w:t>
            </w:r>
          </w:p>
          <w:p>
            <w:pPr>
              <w:pStyle w:val="94"/>
              <w:numPr>
                <w:ilvl w:val="2"/>
                <w:numId w:val="5"/>
              </w:numPr>
              <w:snapToGrid w:val="0"/>
              <w:spacing w:afterLines="50" w:line="240" w:lineRule="auto"/>
              <w:jc w:val="both"/>
              <w:rPr>
                <w:sz w:val="20"/>
                <w:lang w:eastAsia="zh-CN"/>
              </w:rPr>
            </w:pPr>
            <w:r>
              <w:rPr>
                <w:rFonts w:eastAsia="等线"/>
                <w:sz w:val="20"/>
                <w:lang w:eastAsia="zh-CN"/>
              </w:rPr>
              <w:t>FFS signaling to configure the pathloss RS, e.g., via SRS activation message.</w:t>
            </w:r>
          </w:p>
          <w:p>
            <w:pPr>
              <w:pStyle w:val="94"/>
              <w:numPr>
                <w:ilvl w:val="1"/>
                <w:numId w:val="5"/>
              </w:numPr>
              <w:snapToGrid w:val="0"/>
              <w:spacing w:afterLines="50" w:line="240" w:lineRule="auto"/>
              <w:jc w:val="both"/>
              <w:rPr>
                <w:sz w:val="20"/>
                <w:lang w:eastAsia="zh-CN"/>
              </w:rPr>
            </w:pPr>
            <w:r>
              <w:rPr>
                <w:sz w:val="20"/>
                <w:lang w:eastAsia="zh-CN"/>
              </w:rPr>
              <w:t xml:space="preserve">Note: UE Power consumption needs to be taken into account </w:t>
            </w:r>
          </w:p>
          <w:p>
            <w:pPr>
              <w:pStyle w:val="94"/>
              <w:numPr>
                <w:ilvl w:val="1"/>
                <w:numId w:val="5"/>
              </w:numPr>
              <w:snapToGrid w:val="0"/>
              <w:spacing w:afterLines="50" w:line="240" w:lineRule="auto"/>
              <w:jc w:val="both"/>
              <w:rPr>
                <w:sz w:val="20"/>
                <w:lang w:eastAsia="zh-CN"/>
              </w:rPr>
            </w:pPr>
            <w:r>
              <w:rPr>
                <w:rFonts w:eastAsia="等线"/>
                <w:sz w:val="20"/>
                <w:lang w:eastAsia="zh-CN"/>
              </w:rPr>
              <w:t>FFS: Whether p0 and alpha can be commonly configured across cells within the validity area.</w:t>
            </w:r>
            <w:r>
              <w:rPr>
                <w:rFonts w:hint="eastAsia" w:eastAsia="等线"/>
                <w:sz w:val="20"/>
                <w:lang w:eastAsia="zh-CN"/>
              </w:rPr>
              <w:t xml:space="preserve"> </w:t>
            </w:r>
          </w:p>
          <w:p>
            <w:pPr>
              <w:pStyle w:val="94"/>
              <w:numPr>
                <w:ilvl w:val="1"/>
                <w:numId w:val="5"/>
              </w:numPr>
              <w:snapToGrid w:val="0"/>
              <w:spacing w:afterLines="50" w:line="240" w:lineRule="auto"/>
              <w:jc w:val="both"/>
              <w:rPr>
                <w:sz w:val="20"/>
                <w:lang w:eastAsia="ko-KR"/>
              </w:rPr>
            </w:pPr>
            <w:r>
              <w:rPr>
                <w:rFonts w:eastAsia="等线"/>
                <w:sz w:val="20"/>
                <w:lang w:eastAsia="zh-CN"/>
              </w:rPr>
              <w:t>FFS</w:t>
            </w:r>
            <w:r>
              <w:rPr>
                <w:sz w:val="20"/>
                <w:lang w:eastAsia="zh-CN"/>
              </w:rPr>
              <w:t xml:space="preserve"> validity criteria of pathloss RS </w:t>
            </w:r>
            <w:r>
              <w:rPr>
                <w:rFonts w:eastAsia="等线"/>
                <w:sz w:val="20"/>
                <w:lang w:eastAsia="zh-CN"/>
              </w:rPr>
              <w:t xml:space="preserve">and UE behavior if it determines that </w:t>
            </w:r>
            <w:r>
              <w:rPr>
                <w:sz w:val="20"/>
                <w:lang w:eastAsia="zh-CN"/>
              </w:rPr>
              <w:t>the validity criteria of pathloss RS is not met</w:t>
            </w:r>
            <w:r>
              <w:rPr>
                <w:rFonts w:eastAsia="等线"/>
                <w:sz w:val="20"/>
                <w:lang w:eastAsia="zh-CN"/>
              </w:rPr>
              <w:t xml:space="preserve">, if any, </w:t>
            </w:r>
            <w:r>
              <w:rPr>
                <w:sz w:val="20"/>
                <w:lang w:eastAsia="zh-CN"/>
              </w:rPr>
              <w:t>to avoid frequent RRC connection for SRS (re)configuration.</w:t>
            </w:r>
          </w:p>
        </w:tc>
      </w:tr>
    </w:tbl>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Rel-17, the positioning SRS transmission power is determined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If a UE transmits SRS based on a configuration by SRS-PosResourceSet on active UL BWP </w:t>
            </w:r>
            <m:oMath>
              <m:r>
                <m:rPr>
                  <m:sty m:val="p"/>
                </m:rPr>
                <w:rPr>
                  <w:rFonts w:ascii="Cambria Math" w:hAnsi="Cambria Math"/>
                  <w:sz w:val="20"/>
                  <w:szCs w:val="20"/>
                  <w:lang w:eastAsia="ja-JP"/>
                </w:rPr>
                <m:t>b</m:t>
              </m:r>
            </m:oMath>
            <w:r>
              <w:rPr>
                <w:rFonts w:ascii="Times New Roman" w:hAnsi="Times New Roman"/>
                <w:sz w:val="20"/>
                <w:szCs w:val="20"/>
              </w:rPr>
              <w:t xml:space="preserve"> of carrier </w:t>
            </w:r>
            <m:oMath>
              <m:r>
                <m:rPr>
                  <m:sty m:val="p"/>
                </m:rPr>
                <w:rPr>
                  <w:rFonts w:ascii="Cambria Math" w:hAnsi="Cambria Math"/>
                  <w:sz w:val="20"/>
                  <w:szCs w:val="20"/>
                  <w:lang w:eastAsia="ja-JP"/>
                </w:rPr>
                <m:t>f</m:t>
              </m:r>
            </m:oMath>
            <w:r>
              <w:rPr>
                <w:rFonts w:ascii="Times New Roman" w:hAnsi="Times New Roman"/>
                <w:sz w:val="20"/>
                <w:szCs w:val="20"/>
              </w:rPr>
              <w:t xml:space="preserve"> of serving cell </w:t>
            </w:r>
            <m:oMath>
              <m:r>
                <m:rPr>
                  <m:sty m:val="p"/>
                </m:rPr>
                <w:rPr>
                  <w:rFonts w:ascii="Cambria Math" w:hAnsi="Cambria Math"/>
                  <w:sz w:val="20"/>
                  <w:szCs w:val="20"/>
                  <w:lang w:eastAsia="ja-JP"/>
                </w:rPr>
                <m:t>c</m:t>
              </m:r>
            </m:oMath>
            <w:r>
              <w:rPr>
                <w:rFonts w:ascii="Times New Roman" w:hAnsi="Times New Roman"/>
                <w:sz w:val="20"/>
                <w:szCs w:val="20"/>
              </w:rPr>
              <w:t xml:space="preserve">, the UE determines the SRS transmission power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SRS,b,f,c</m:t>
                  </m:r>
                  <m:ctrlPr>
                    <w:rPr>
                      <w:rFonts w:ascii="Cambria Math" w:hAnsi="Cambria Math"/>
                      <w:sz w:val="20"/>
                      <w:szCs w:val="20"/>
                    </w:rPr>
                  </m:ctrlPr>
                </m:sub>
              </m:sSub>
              <m:d>
                <m:dPr>
                  <m:ctrlPr>
                    <w:rPr>
                      <w:rFonts w:ascii="Cambria Math" w:hAnsi="Cambria Math"/>
                      <w:sz w:val="20"/>
                      <w:szCs w:val="20"/>
                      <w:lang w:eastAsia="ja-JP"/>
                    </w:rPr>
                  </m:ctrlPr>
                </m:dPr>
                <m:e>
                  <m:r>
                    <m:rPr>
                      <m:sty m:val="p"/>
                    </m:rPr>
                    <w:rPr>
                      <w:rFonts w:ascii="Cambria Math" w:hAnsi="Cambria Math"/>
                      <w:sz w:val="20"/>
                      <w:szCs w:val="20"/>
                      <w:lang w:eastAsia="ja-JP"/>
                    </w:rPr>
                    <m:t>i,</m:t>
                  </m:r>
                  <m:sSub>
                    <m:sSubPr>
                      <m:ctrlPr>
                        <w:rPr>
                          <w:rFonts w:ascii="Cambria Math" w:hAnsi="Cambria Math"/>
                          <w:sz w:val="20"/>
                          <w:szCs w:val="20"/>
                          <w:lang w:eastAsia="ja-JP"/>
                        </w:rPr>
                      </m:ctrlPr>
                    </m:sSubPr>
                    <m:e>
                      <m:r>
                        <m:rPr>
                          <m:sty m:val="p"/>
                        </m:rPr>
                        <w:rPr>
                          <w:rFonts w:ascii="Cambria Math" w:hAnsi="Cambria Math"/>
                          <w:sz w:val="20"/>
                          <w:szCs w:val="20"/>
                          <w:lang w:eastAsia="ja-JP"/>
                        </w:rPr>
                        <m:t>q</m:t>
                      </m:r>
                      <m:ctrlPr>
                        <w:rPr>
                          <w:rFonts w:ascii="Cambria Math" w:hAnsi="Cambria Math"/>
                          <w:sz w:val="20"/>
                          <w:szCs w:val="20"/>
                          <w:lang w:eastAsia="ja-JP"/>
                        </w:rPr>
                      </m:ctrlPr>
                    </m:e>
                    <m:sub>
                      <m:r>
                        <m:rPr>
                          <m:sty m:val="p"/>
                        </m:rPr>
                        <w:rPr>
                          <w:rFonts w:ascii="Cambria Math" w:hAnsi="Cambria Math"/>
                          <w:sz w:val="20"/>
                          <w:szCs w:val="20"/>
                          <w:lang w:eastAsia="ja-JP"/>
                        </w:rPr>
                        <m:t>s</m:t>
                      </m:r>
                      <m:ctrlPr>
                        <w:rPr>
                          <w:rFonts w:ascii="Cambria Math" w:hAnsi="Cambria Math"/>
                          <w:sz w:val="20"/>
                          <w:szCs w:val="20"/>
                          <w:lang w:eastAsia="ja-JP"/>
                        </w:rPr>
                      </m:ctrlPr>
                    </m:sub>
                  </m:sSub>
                  <m:ctrlPr>
                    <w:rPr>
                      <w:rFonts w:ascii="Cambria Math" w:hAnsi="Cambria Math"/>
                      <w:sz w:val="20"/>
                      <w:szCs w:val="20"/>
                      <w:lang w:eastAsia="ja-JP"/>
                    </w:rPr>
                  </m:ctrlPr>
                </m:e>
              </m:d>
            </m:oMath>
            <w:r>
              <w:rPr>
                <w:rFonts w:ascii="Times New Roman" w:hAnsi="Times New Roman"/>
                <w:sz w:val="20"/>
                <w:szCs w:val="20"/>
              </w:rPr>
              <w:t xml:space="preserve"> in SRS transmission occasion </w:t>
            </w:r>
            <m:oMath>
              <m:r>
                <m:rPr>
                  <m:sty m:val="p"/>
                </m:rPr>
                <w:rPr>
                  <w:rFonts w:ascii="Cambria Math" w:hAnsi="Cambria Math"/>
                  <w:sz w:val="20"/>
                  <w:szCs w:val="20"/>
                </w:rPr>
                <m:t>i</m:t>
              </m:r>
            </m:oMath>
            <w:r>
              <w:rPr>
                <w:rFonts w:ascii="Times New Roman" w:hAnsi="Times New Roman"/>
                <w:sz w:val="20"/>
                <w:szCs w:val="20"/>
              </w:rPr>
              <w:t xml:space="preserve"> as </w:t>
            </w:r>
          </w:p>
          <w:p>
            <w:pPr>
              <w:pStyle w:val="85"/>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drawing>
                <wp:inline distT="0" distB="0" distL="114300" distR="114300">
                  <wp:extent cx="4591050" cy="466725"/>
                  <wp:effectExtent l="0" t="0" r="0" b="889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2"/>
                          <a:stretch>
                            <a:fillRect/>
                          </a:stretch>
                        </pic:blipFill>
                        <pic:spPr>
                          <a:xfrm>
                            <a:off x="0" y="0"/>
                            <a:ext cx="4591050" cy="466725"/>
                          </a:xfrm>
                          <a:prstGeom prst="rect">
                            <a:avLst/>
                          </a:prstGeom>
                          <a:noFill/>
                          <a:ln>
                            <a:noFill/>
                          </a:ln>
                        </pic:spPr>
                      </pic:pic>
                    </a:graphicData>
                  </a:graphic>
                </wp:inline>
              </w:drawing>
            </w:r>
            <w:r>
              <w:rPr>
                <w:rFonts w:ascii="Times New Roman" w:hAnsi="Times New Roman"/>
                <w:sz w:val="20"/>
                <w:szCs w:val="20"/>
              </w:rPr>
              <w:t xml:space="preserve"> [dBm]</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where, </w:t>
            </w:r>
          </w:p>
          <w:p>
            <w:pPr>
              <w:pStyle w:val="84"/>
              <w:adjustRightInd w:val="0"/>
              <w:snapToGrid w:val="0"/>
              <w:spacing w:before="180" w:beforeLines="50" w:after="180" w:afterLines="50" w:line="240" w:lineRule="auto"/>
              <w:ind w:left="630" w:hanging="346"/>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m:oMath>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m:sty m:val="p"/>
                    </m:rPr>
                    <w:rPr>
                      <w:rFonts w:ascii="Cambria Math" w:hAnsi="Cambria Math"/>
                      <w:sz w:val="20"/>
                      <w:szCs w:val="20"/>
                    </w:rPr>
                    <m:t>O_SRS</m:t>
                  </m:r>
                  <m:r>
                    <m:rPr/>
                    <w:rPr>
                      <w:rFonts w:ascii="Cambria Math" w:hAnsi="Cambria Math"/>
                      <w:sz w:val="20"/>
                      <w:szCs w:val="20"/>
                    </w:rPr>
                    <m:t>,b,f,c</m:t>
                  </m:r>
                  <m:ctrlPr>
                    <w:rPr>
                      <w:rFonts w:ascii="Cambria Math" w:hAnsi="Cambria Math"/>
                      <w:i/>
                      <w:sz w:val="20"/>
                      <w:szCs w:val="20"/>
                    </w:rPr>
                  </m:ctrlPr>
                </m:sub>
              </m:sSub>
              <m:d>
                <m:dPr>
                  <m:ctrlPr>
                    <w:rPr>
                      <w:rFonts w:ascii="Cambria Math" w:hAnsi="Cambria Math" w:eastAsia="MS Mincho"/>
                      <w:i/>
                      <w:sz w:val="20"/>
                      <w:szCs w:val="20"/>
                      <w:lang w:eastAsia="ja-JP"/>
                    </w:rPr>
                  </m:ctrlPr>
                </m:dPr>
                <m:e>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s</m:t>
                      </m:r>
                      <m:ctrlPr>
                        <w:rPr>
                          <w:rFonts w:ascii="Cambria Math" w:hAnsi="Cambria Math" w:eastAsia="MS Mincho"/>
                          <w:i/>
                          <w:sz w:val="20"/>
                          <w:szCs w:val="20"/>
                          <w:lang w:eastAsia="ja-JP"/>
                        </w:rPr>
                      </m:ctrlPr>
                    </m:sub>
                  </m:sSub>
                  <m:ctrlPr>
                    <w:rPr>
                      <w:rFonts w:ascii="Cambria Math" w:hAnsi="Cambria Math" w:eastAsia="MS Mincho"/>
                      <w:i/>
                      <w:sz w:val="20"/>
                      <w:szCs w:val="20"/>
                      <w:lang w:eastAsia="ja-JP"/>
                    </w:rPr>
                  </m:ctrlPr>
                </m:e>
              </m:d>
            </m:oMath>
            <w:r>
              <w:rPr>
                <w:rFonts w:ascii="Times New Roman" w:hAnsi="Times New Roman"/>
                <w:sz w:val="20"/>
                <w:szCs w:val="20"/>
                <w:lang w:eastAsia="ja-JP"/>
              </w:rPr>
              <w:t xml:space="preserve"> and </w:t>
            </w:r>
            <m:oMath>
              <m:sSub>
                <m:sSubPr>
                  <m:ctrlPr>
                    <w:rPr>
                      <w:rFonts w:ascii="Cambria Math" w:hAnsi="Cambria Math"/>
                      <w:i/>
                      <w:sz w:val="20"/>
                      <w:szCs w:val="20"/>
                    </w:rPr>
                  </m:ctrlPr>
                </m:sSubPr>
                <m:e>
                  <m:r>
                    <m:rPr/>
                    <w:rPr>
                      <w:rFonts w:ascii="Cambria Math" w:hAnsi="Cambria Math"/>
                      <w:sz w:val="20"/>
                      <w:szCs w:val="20"/>
                    </w:rPr>
                    <m:t>α</m:t>
                  </m:r>
                  <m:ctrlPr>
                    <w:rPr>
                      <w:rFonts w:ascii="Cambria Math" w:hAnsi="Cambria Math"/>
                      <w:i/>
                      <w:sz w:val="20"/>
                      <w:szCs w:val="20"/>
                    </w:rPr>
                  </m:ctrlPr>
                </m:e>
                <m:sub>
                  <m:r>
                    <m:rPr>
                      <m:sty m:val="p"/>
                    </m:rPr>
                    <w:rPr>
                      <w:rFonts w:ascii="Cambria Math" w:hAnsi="Cambria Math"/>
                      <w:sz w:val="20"/>
                      <w:szCs w:val="20"/>
                    </w:rPr>
                    <m:t>SRS</m:t>
                  </m:r>
                  <m:r>
                    <m:rPr/>
                    <w:rPr>
                      <w:rFonts w:ascii="Cambria Math" w:hAnsi="Cambria Math"/>
                      <w:sz w:val="20"/>
                      <w:szCs w:val="20"/>
                    </w:rPr>
                    <m:t>,b,f,c</m:t>
                  </m:r>
                  <m:ctrlPr>
                    <w:rPr>
                      <w:rFonts w:ascii="Cambria Math" w:hAnsi="Cambria Math"/>
                      <w:i/>
                      <w:sz w:val="20"/>
                      <w:szCs w:val="20"/>
                    </w:rPr>
                  </m:ctrlPr>
                </m:sub>
              </m:sSub>
              <m:d>
                <m:dPr>
                  <m:ctrlPr>
                    <w:rPr>
                      <w:rFonts w:ascii="Cambria Math" w:hAnsi="Cambria Math" w:eastAsia="MS Mincho"/>
                      <w:i/>
                      <w:sz w:val="20"/>
                      <w:szCs w:val="20"/>
                      <w:lang w:eastAsia="ja-JP"/>
                    </w:rPr>
                  </m:ctrlPr>
                </m:dPr>
                <m:e>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s</m:t>
                      </m:r>
                      <m:ctrlPr>
                        <w:rPr>
                          <w:rFonts w:ascii="Cambria Math" w:hAnsi="Cambria Math" w:eastAsia="MS Mincho"/>
                          <w:i/>
                          <w:sz w:val="20"/>
                          <w:szCs w:val="20"/>
                          <w:lang w:eastAsia="ja-JP"/>
                        </w:rPr>
                      </m:ctrlPr>
                    </m:sub>
                  </m:sSub>
                  <m:ctrlPr>
                    <w:rPr>
                      <w:rFonts w:ascii="Cambria Math" w:hAnsi="Cambria Math" w:eastAsia="MS Mincho"/>
                      <w:i/>
                      <w:sz w:val="20"/>
                      <w:szCs w:val="20"/>
                      <w:lang w:eastAsia="ja-JP"/>
                    </w:rPr>
                  </m:ctrlPr>
                </m:e>
              </m:d>
            </m:oMath>
            <w:r>
              <w:rPr>
                <w:rFonts w:ascii="Times New Roman" w:hAnsi="Times New Roman"/>
                <w:sz w:val="20"/>
                <w:szCs w:val="20"/>
                <w:lang w:eastAsia="ja-JP"/>
              </w:rPr>
              <w:t xml:space="preserve"> </w:t>
            </w:r>
            <w:r>
              <w:rPr>
                <w:rFonts w:ascii="Times New Roman" w:hAnsi="Times New Roman"/>
                <w:sz w:val="20"/>
                <w:szCs w:val="20"/>
              </w:rPr>
              <w:t xml:space="preserve">are provided by </w:t>
            </w:r>
            <w:r>
              <w:rPr>
                <w:rFonts w:ascii="Times New Roman" w:hAnsi="Times New Roman" w:eastAsia="MS Mincho"/>
                <w:i/>
                <w:sz w:val="20"/>
                <w:szCs w:val="20"/>
              </w:rPr>
              <w:t>p0-r16</w:t>
            </w:r>
            <w:r>
              <w:rPr>
                <w:rFonts w:ascii="Times New Roman" w:hAnsi="Times New Roman" w:eastAsia="MS Mincho"/>
                <w:sz w:val="20"/>
                <w:szCs w:val="20"/>
              </w:rPr>
              <w:t xml:space="preserve"> and</w:t>
            </w:r>
            <w:r>
              <w:rPr>
                <w:rFonts w:ascii="Times New Roman" w:hAnsi="Times New Roman"/>
                <w:i/>
                <w:sz w:val="20"/>
                <w:szCs w:val="20"/>
              </w:rPr>
              <w:t xml:space="preserve"> alpha-r16</w:t>
            </w:r>
            <w:r>
              <w:rPr>
                <w:rFonts w:ascii="Times New Roman" w:hAnsi="Times New Roman"/>
                <w:sz w:val="20"/>
                <w:szCs w:val="20"/>
              </w:rPr>
              <w:t xml:space="preserve"> respectively, for active UL BWP </w:t>
            </w:r>
            <m:oMath>
              <m:r>
                <m:rPr/>
                <w:rPr>
                  <w:rFonts w:ascii="Cambria Math" w:hAnsi="Cambria Math" w:eastAsia="MS Mincho"/>
                  <w:sz w:val="20"/>
                  <w:szCs w:val="20"/>
                  <w:lang w:eastAsia="ja-JP"/>
                </w:rPr>
                <m:t>b</m:t>
              </m:r>
            </m:oMath>
            <w:r>
              <w:rPr>
                <w:rFonts w:ascii="Times New Roman" w:hAnsi="Times New Roman"/>
                <w:iCs/>
                <w:sz w:val="20"/>
                <w:szCs w:val="20"/>
              </w:rPr>
              <w:t xml:space="preserve"> </w:t>
            </w:r>
            <w:r>
              <w:rPr>
                <w:rFonts w:ascii="Times New Roman" w:hAnsi="Times New Roman"/>
                <w:sz w:val="20"/>
                <w:szCs w:val="20"/>
              </w:rPr>
              <w:t xml:space="preserve">of carrier </w:t>
            </w:r>
            <m:oMath>
              <m:r>
                <m:rPr/>
                <w:rPr>
                  <w:rFonts w:ascii="Cambria Math" w:hAnsi="Cambria Math" w:eastAsia="MS Mincho"/>
                  <w:sz w:val="20"/>
                  <w:szCs w:val="20"/>
                  <w:lang w:eastAsia="ja-JP"/>
                </w:rPr>
                <m:t>f</m:t>
              </m:r>
            </m:oMath>
            <w:r>
              <w:rPr>
                <w:rFonts w:ascii="Times New Roman" w:hAnsi="Times New Roman"/>
                <w:iCs/>
                <w:sz w:val="20"/>
                <w:szCs w:val="20"/>
              </w:rPr>
              <w:t xml:space="preserve"> of</w:t>
            </w:r>
            <w:r>
              <w:rPr>
                <w:rFonts w:ascii="Times New Roman" w:hAnsi="Times New Roman"/>
                <w:sz w:val="20"/>
                <w:szCs w:val="20"/>
              </w:rPr>
              <w:t xml:space="preserve"> serving cell </w:t>
            </w:r>
            <m:oMath>
              <m:r>
                <m:rPr/>
                <w:rPr>
                  <w:rFonts w:ascii="Cambria Math" w:hAnsi="Cambria Math" w:eastAsia="MS Mincho"/>
                  <w:sz w:val="20"/>
                  <w:szCs w:val="20"/>
                  <w:lang w:eastAsia="ja-JP"/>
                </w:rPr>
                <m:t>c</m:t>
              </m:r>
            </m:oMath>
            <w:r>
              <w:rPr>
                <w:rFonts w:ascii="Times New Roman" w:hAnsi="Times New Roman"/>
                <w:sz w:val="20"/>
                <w:szCs w:val="20"/>
                <w:lang w:eastAsia="ja-JP"/>
              </w:rPr>
              <w:t>,</w:t>
            </w:r>
            <w:r>
              <w:rPr>
                <w:rFonts w:ascii="Times New Roman" w:hAnsi="Times New Roman"/>
                <w:sz w:val="20"/>
                <w:szCs w:val="20"/>
              </w:rPr>
              <w:t xml:space="preserve"> and SRS resource set </w:t>
            </w:r>
            <m:oMath>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s</m:t>
                  </m:r>
                  <m:ctrlPr>
                    <w:rPr>
                      <w:rFonts w:ascii="Cambria Math" w:hAnsi="Cambria Math" w:eastAsia="MS Mincho"/>
                      <w:i/>
                      <w:sz w:val="20"/>
                      <w:szCs w:val="20"/>
                      <w:lang w:eastAsia="ja-JP"/>
                    </w:rPr>
                  </m:ctrlPr>
                </m:sub>
              </m:sSub>
            </m:oMath>
            <w:r>
              <w:rPr>
                <w:rFonts w:ascii="Times New Roman" w:hAnsi="Times New Roman"/>
                <w:sz w:val="20"/>
                <w:szCs w:val="20"/>
              </w:rPr>
              <w:t xml:space="preserve"> is indicated by </w:t>
            </w:r>
            <w:r>
              <w:rPr>
                <w:rFonts w:ascii="Times New Roman" w:hAnsi="Times New Roman"/>
                <w:i/>
                <w:sz w:val="20"/>
                <w:szCs w:val="20"/>
              </w:rPr>
              <w:t xml:space="preserve">SRS-PosResourceSetId </w:t>
            </w:r>
            <w:r>
              <w:rPr>
                <w:rFonts w:ascii="Times New Roman" w:hAnsi="Times New Roman"/>
                <w:sz w:val="20"/>
                <w:szCs w:val="20"/>
              </w:rPr>
              <w:t xml:space="preserve">from </w:t>
            </w:r>
            <w:r>
              <w:rPr>
                <w:rFonts w:ascii="Times New Roman" w:hAnsi="Times New Roman"/>
                <w:i/>
                <w:sz w:val="20"/>
                <w:szCs w:val="20"/>
              </w:rPr>
              <w:t>SRS-PosResourceSet</w:t>
            </w:r>
            <w:r>
              <w:rPr>
                <w:rFonts w:ascii="Times New Roman" w:hAnsi="Times New Roman"/>
                <w:sz w:val="20"/>
                <w:szCs w:val="20"/>
              </w:rPr>
              <w:t>, and</w:t>
            </w:r>
          </w:p>
          <w:p>
            <w:pPr>
              <w:pStyle w:val="84"/>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m:oMath>
              <m:sSub>
                <m:sSubPr>
                  <m:ctrlPr>
                    <w:rPr>
                      <w:rFonts w:ascii="Cambria Math" w:hAnsi="Cambria Math"/>
                      <w:i/>
                      <w:sz w:val="20"/>
                      <w:szCs w:val="20"/>
                    </w:rPr>
                  </m:ctrlPr>
                </m:sSubPr>
                <m:e>
                  <m:r>
                    <m:rPr/>
                    <w:rPr>
                      <w:rFonts w:ascii="Cambria Math" w:hAnsi="Cambria Math"/>
                      <w:sz w:val="20"/>
                      <w:szCs w:val="20"/>
                    </w:rPr>
                    <m:t>PL</m:t>
                  </m:r>
                  <m:ctrlPr>
                    <w:rPr>
                      <w:rFonts w:ascii="Cambria Math" w:hAnsi="Cambria Math"/>
                      <w:i/>
                      <w:sz w:val="20"/>
                      <w:szCs w:val="20"/>
                    </w:rPr>
                  </m:ctrlPr>
                </m:e>
                <m:sub>
                  <m:r>
                    <m:rPr/>
                    <w:rPr>
                      <w:rFonts w:ascii="Cambria Math" w:hAnsi="Cambria Math"/>
                      <w:sz w:val="20"/>
                      <w:szCs w:val="20"/>
                    </w:rPr>
                    <m:t>b,f,c</m:t>
                  </m:r>
                  <m:ctrlPr>
                    <w:rPr>
                      <w:rFonts w:ascii="Cambria Math" w:hAnsi="Cambria Math"/>
                      <w:i/>
                      <w:sz w:val="20"/>
                      <w:szCs w:val="20"/>
                    </w:rPr>
                  </m:ctrlPr>
                </m:sub>
              </m:sSub>
              <m:d>
                <m:dPr>
                  <m:ctrlPr>
                    <w:rPr>
                      <w:rFonts w:ascii="Cambria Math" w:hAnsi="Cambria Math" w:eastAsia="MS Mincho"/>
                      <w:i/>
                      <w:sz w:val="20"/>
                      <w:szCs w:val="20"/>
                      <w:lang w:eastAsia="ja-JP"/>
                    </w:rPr>
                  </m:ctrlPr>
                </m:dPr>
                <m:e>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d</m:t>
                      </m:r>
                      <m:ctrlPr>
                        <w:rPr>
                          <w:rFonts w:ascii="Cambria Math" w:hAnsi="Cambria Math" w:eastAsia="MS Mincho"/>
                          <w:i/>
                          <w:sz w:val="20"/>
                          <w:szCs w:val="20"/>
                          <w:lang w:eastAsia="ja-JP"/>
                        </w:rPr>
                      </m:ctrlPr>
                    </m:sub>
                  </m:sSub>
                  <m:ctrlPr>
                    <w:rPr>
                      <w:rFonts w:ascii="Cambria Math" w:hAnsi="Cambria Math" w:eastAsia="MS Mincho"/>
                      <w:i/>
                      <w:sz w:val="20"/>
                      <w:szCs w:val="20"/>
                      <w:lang w:eastAsia="ja-JP"/>
                    </w:rPr>
                  </m:ctrlPr>
                </m:e>
              </m:d>
            </m:oMath>
            <w:r>
              <w:rPr>
                <w:rFonts w:ascii="Times New Roman" w:hAnsi="Times New Roman"/>
                <w:sz w:val="20"/>
                <w:szCs w:val="20"/>
                <w:lang w:eastAsia="ja-JP"/>
              </w:rPr>
              <w:t xml:space="preserve"> </w:t>
            </w:r>
            <w:r>
              <w:rPr>
                <w:rFonts w:ascii="Times New Roman" w:hAnsi="Times New Roman"/>
                <w:sz w:val="20"/>
                <w:szCs w:val="20"/>
              </w:rPr>
              <w:t xml:space="preserve">is a downlink pathloss estimate </w:t>
            </w:r>
            <w:r>
              <w:rPr>
                <w:rFonts w:ascii="Times New Roman" w:hAnsi="Times New Roman" w:eastAsia="MS Mincho"/>
                <w:sz w:val="20"/>
                <w:szCs w:val="20"/>
              </w:rPr>
              <w:t xml:space="preserve">in dB </w:t>
            </w:r>
            <w:r>
              <w:rPr>
                <w:rFonts w:ascii="Times New Roman" w:hAnsi="Times New Roman"/>
                <w:sz w:val="20"/>
                <w:szCs w:val="20"/>
              </w:rPr>
              <w:t xml:space="preserve">calculated by the UE, as described in clause 7.1.1 in case of an active DL BWP </w:t>
            </w:r>
            <w:r>
              <w:rPr>
                <w:rFonts w:ascii="Times New Roman" w:hAnsi="Times New Roman"/>
                <w:iCs/>
                <w:sz w:val="20"/>
                <w:szCs w:val="20"/>
              </w:rPr>
              <w:t>of</w:t>
            </w:r>
            <w:r>
              <w:rPr>
                <w:rFonts w:ascii="Times New Roman" w:hAnsi="Times New Roman"/>
                <w:sz w:val="20"/>
                <w:szCs w:val="20"/>
              </w:rPr>
              <w:t xml:space="preserve"> a serving cell </w:t>
            </w:r>
            <m:oMath>
              <m:r>
                <m:rPr/>
                <w:rPr>
                  <w:rFonts w:ascii="Cambria Math" w:hAnsi="Cambria Math" w:eastAsia="MS Mincho"/>
                  <w:sz w:val="20"/>
                  <w:szCs w:val="20"/>
                  <w:lang w:eastAsia="ja-JP"/>
                </w:rPr>
                <m:t>c</m:t>
              </m:r>
            </m:oMath>
            <w:r>
              <w:rPr>
                <w:rFonts w:ascii="Times New Roman" w:hAnsi="Times New Roman"/>
                <w:sz w:val="20"/>
                <w:szCs w:val="20"/>
                <w:lang w:eastAsia="ja-JP"/>
              </w:rPr>
              <w:t>,</w:t>
            </w:r>
            <w:r>
              <w:rPr>
                <w:rFonts w:ascii="Times New Roman" w:hAnsi="Times New Roman"/>
                <w:sz w:val="20"/>
                <w:szCs w:val="20"/>
              </w:rPr>
              <w:t xml:space="preserve"> using RS resource indexed </w:t>
            </w:r>
            <m:oMath>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d</m:t>
                  </m:r>
                  <m:ctrlPr>
                    <w:rPr>
                      <w:rFonts w:ascii="Cambria Math" w:hAnsi="Cambria Math" w:eastAsia="MS Mincho"/>
                      <w:i/>
                      <w:sz w:val="20"/>
                      <w:szCs w:val="20"/>
                      <w:lang w:eastAsia="ja-JP"/>
                    </w:rPr>
                  </m:ctrlPr>
                </m:sub>
              </m:sSub>
            </m:oMath>
            <w:r>
              <w:rPr>
                <w:rFonts w:ascii="Times New Roman" w:hAnsi="Times New Roman"/>
                <w:iCs/>
                <w:sz w:val="20"/>
                <w:szCs w:val="20"/>
              </w:rPr>
              <w:t xml:space="preserve"> </w:t>
            </w:r>
            <w:r>
              <w:rPr>
                <w:rFonts w:ascii="Times New Roman" w:hAnsi="Times New Roman"/>
                <w:sz w:val="20"/>
                <w:szCs w:val="20"/>
              </w:rPr>
              <w:t xml:space="preserve">in a serving or non-serving cell </w:t>
            </w:r>
            <w:r>
              <w:rPr>
                <w:rFonts w:ascii="Times New Roman" w:hAnsi="Times New Roman" w:eastAsia="MS Mincho"/>
                <w:sz w:val="20"/>
                <w:szCs w:val="20"/>
              </w:rPr>
              <w:t xml:space="preserve">for SRS resource set </w:t>
            </w:r>
            <m:oMath>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s</m:t>
                  </m:r>
                  <m:ctrlPr>
                    <w:rPr>
                      <w:rFonts w:ascii="Cambria Math" w:hAnsi="Cambria Math" w:eastAsia="MS Mincho"/>
                      <w:i/>
                      <w:sz w:val="20"/>
                      <w:szCs w:val="20"/>
                      <w:lang w:eastAsia="ja-JP"/>
                    </w:rPr>
                  </m:ctrlPr>
                </m:sub>
              </m:sSub>
            </m:oMath>
            <w:r>
              <w:rPr>
                <w:rFonts w:ascii="Times New Roman" w:hAnsi="Times New Roman"/>
                <w:sz w:val="20"/>
                <w:szCs w:val="20"/>
              </w:rPr>
              <w:t xml:space="preserve"> [6, TS 38.214]. A configuration for RS resource index </w:t>
            </w:r>
            <m:oMath>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d</m:t>
                  </m:r>
                  <m:ctrlPr>
                    <w:rPr>
                      <w:rFonts w:ascii="Cambria Math" w:hAnsi="Cambria Math" w:eastAsia="MS Mincho"/>
                      <w:i/>
                      <w:sz w:val="20"/>
                      <w:szCs w:val="20"/>
                      <w:lang w:eastAsia="ja-JP"/>
                    </w:rPr>
                  </m:ctrlPr>
                </m:sub>
              </m:sSub>
            </m:oMath>
            <w:r>
              <w:rPr>
                <w:rFonts w:ascii="Times New Roman" w:hAnsi="Times New Roman"/>
                <w:sz w:val="20"/>
                <w:szCs w:val="20"/>
              </w:rPr>
              <w:t xml:space="preserve"> associated with SRS resource set </w:t>
            </w:r>
            <m:oMath>
              <m:sSub>
                <m:sSubPr>
                  <m:ctrlPr>
                    <w:rPr>
                      <w:rFonts w:ascii="Cambria Math" w:hAnsi="Cambria Math" w:eastAsia="MS Mincho"/>
                      <w:i/>
                      <w:sz w:val="20"/>
                      <w:szCs w:val="20"/>
                      <w:lang w:eastAsia="ja-JP"/>
                    </w:rPr>
                  </m:ctrlPr>
                </m:sSubPr>
                <m:e>
                  <m:r>
                    <m:rPr/>
                    <w:rPr>
                      <w:rFonts w:ascii="Cambria Math" w:hAnsi="Cambria Math" w:eastAsia="MS Mincho"/>
                      <w:sz w:val="20"/>
                      <w:szCs w:val="20"/>
                      <w:lang w:eastAsia="ja-JP"/>
                    </w:rPr>
                    <m:t>q</m:t>
                  </m:r>
                  <m:ctrlPr>
                    <w:rPr>
                      <w:rFonts w:ascii="Cambria Math" w:hAnsi="Cambria Math" w:eastAsia="MS Mincho"/>
                      <w:i/>
                      <w:sz w:val="20"/>
                      <w:szCs w:val="20"/>
                      <w:lang w:eastAsia="ja-JP"/>
                    </w:rPr>
                  </m:ctrlPr>
                </m:e>
                <m:sub>
                  <m:r>
                    <m:rPr/>
                    <w:rPr>
                      <w:rFonts w:ascii="Cambria Math" w:hAnsi="Cambria Math" w:eastAsia="MS Mincho"/>
                      <w:sz w:val="20"/>
                      <w:szCs w:val="20"/>
                      <w:lang w:eastAsia="ja-JP"/>
                    </w:rPr>
                    <m:t>s</m:t>
                  </m:r>
                  <m:ctrlPr>
                    <w:rPr>
                      <w:rFonts w:ascii="Cambria Math" w:hAnsi="Cambria Math" w:eastAsia="MS Mincho"/>
                      <w:i/>
                      <w:sz w:val="20"/>
                      <w:szCs w:val="20"/>
                      <w:lang w:eastAsia="ja-JP"/>
                    </w:rPr>
                  </m:ctrlPr>
                </m:sub>
              </m:sSub>
            </m:oMath>
            <w:r>
              <w:rPr>
                <w:rFonts w:ascii="Times New Roman" w:hAnsi="Times New Roman"/>
                <w:sz w:val="20"/>
                <w:szCs w:val="20"/>
              </w:rPr>
              <w:t xml:space="preserve"> is provided </w:t>
            </w:r>
            <w:r>
              <w:rPr>
                <w:rFonts w:ascii="Times New Roman" w:hAnsi="Times New Roman" w:eastAsia="MS Mincho"/>
                <w:sz w:val="20"/>
                <w:szCs w:val="20"/>
              </w:rPr>
              <w:t>by</w:t>
            </w:r>
            <w:r>
              <w:rPr>
                <w:rFonts w:ascii="Times New Roman" w:hAnsi="Times New Roman"/>
                <w:sz w:val="20"/>
                <w:szCs w:val="20"/>
              </w:rPr>
              <w:t xml:space="preserve"> </w:t>
            </w:r>
            <w:r>
              <w:rPr>
                <w:rFonts w:ascii="Times New Roman" w:hAnsi="Times New Roman"/>
                <w:i/>
                <w:sz w:val="20"/>
                <w:szCs w:val="20"/>
              </w:rPr>
              <w:t>pathlossReferenceRS-Pos.</w:t>
            </w:r>
            <w:r>
              <w:rPr>
                <w:rFonts w:ascii="Times New Roman" w:hAnsi="Times New Roman"/>
                <w:sz w:val="20"/>
                <w:szCs w:val="20"/>
              </w:rPr>
              <w:t xml:space="preserve"> </w:t>
            </w:r>
          </w:p>
        </w:tc>
      </w:tr>
    </w:tbl>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the above formula, transmission power control</w:t>
      </w:r>
      <w:r>
        <w:rPr>
          <w:rFonts w:hint="eastAsia" w:ascii="Times New Roman" w:hAnsi="Times New Roman"/>
          <w:sz w:val="20"/>
          <w:szCs w:val="20"/>
        </w:rPr>
        <w:t xml:space="preserve"> related</w:t>
      </w:r>
      <w:r>
        <w:rPr>
          <w:rFonts w:ascii="Times New Roman" w:hAnsi="Times New Roman"/>
          <w:sz w:val="20"/>
          <w:szCs w:val="20"/>
        </w:rPr>
        <w:t xml:space="preserve"> parameters in SRS configuration comprise </w:t>
      </w:r>
      <w:r>
        <w:rPr>
          <w:rFonts w:ascii="Times New Roman" w:hAnsi="Times New Roman"/>
          <w:i/>
          <w:iCs/>
          <w:sz w:val="20"/>
          <w:szCs w:val="20"/>
        </w:rPr>
        <w:t>p0</w:t>
      </w:r>
      <w:r>
        <w:rPr>
          <w:rFonts w:ascii="Times New Roman" w:hAnsi="Times New Roman"/>
          <w:sz w:val="20"/>
          <w:szCs w:val="20"/>
        </w:rPr>
        <w:t xml:space="preserve">, </w:t>
      </w:r>
      <w:r>
        <w:rPr>
          <w:rFonts w:ascii="Times New Roman" w:hAnsi="Times New Roman"/>
          <w:i/>
          <w:iCs/>
          <w:sz w:val="20"/>
          <w:szCs w:val="20"/>
        </w:rPr>
        <w:t xml:space="preserve">alpha </w:t>
      </w:r>
      <w:r>
        <w:rPr>
          <w:rFonts w:ascii="Times New Roman" w:hAnsi="Times New Roman"/>
          <w:sz w:val="20"/>
          <w:szCs w:val="20"/>
        </w:rPr>
        <w:t xml:space="preserve">and </w:t>
      </w:r>
      <w:r>
        <w:rPr>
          <w:rFonts w:ascii="Times New Roman" w:hAnsi="Times New Roman"/>
          <w:i/>
          <w:iCs/>
          <w:sz w:val="20"/>
          <w:szCs w:val="20"/>
        </w:rPr>
        <w:t>pathlossReferenceRS-Pos</w:t>
      </w:r>
      <w:r>
        <w:rPr>
          <w:rFonts w:ascii="Times New Roman" w:hAnsi="Times New Roman"/>
          <w:sz w:val="20"/>
          <w:szCs w:val="20"/>
        </w:rPr>
        <w:t xml:space="preserve">. </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For the UE in RRC_CONNECTED state, UE may calculate above parameter </w:t>
      </w:r>
      <m:oMath>
        <m:sSub>
          <m:sSubPr>
            <m:ctrlPr>
              <w:rPr>
                <w:rFonts w:ascii="Cambria Math" w:hAnsi="Cambria Math"/>
                <w:sz w:val="20"/>
                <w:szCs w:val="20"/>
              </w:rPr>
            </m:ctrlPr>
          </m:sSubPr>
          <m:e>
            <m:r>
              <m:rPr>
                <m:sty m:val="p"/>
              </m:rPr>
              <w:rPr>
                <w:rFonts w:ascii="Cambria Math" w:hAnsi="Cambria Math"/>
                <w:sz w:val="20"/>
                <w:szCs w:val="20"/>
              </w:rPr>
              <m:t>PL</m:t>
            </m:r>
            <m:ctrlPr>
              <w:rPr>
                <w:rFonts w:ascii="Cambria Math" w:hAnsi="Cambria Math"/>
                <w:sz w:val="20"/>
                <w:szCs w:val="20"/>
              </w:rPr>
            </m:ctrlPr>
          </m:e>
          <m:sub>
            <m:r>
              <m:rPr>
                <m:sty m:val="p"/>
              </m:rPr>
              <w:rPr>
                <w:rFonts w:ascii="Cambria Math" w:hAnsi="Cambria Math"/>
                <w:sz w:val="20"/>
                <w:szCs w:val="20"/>
              </w:rPr>
              <m:t>b,f,c</m:t>
            </m:r>
            <m:ctrlPr>
              <w:rPr>
                <w:rFonts w:ascii="Cambria Math" w:hAnsi="Cambria Math"/>
                <w:sz w:val="20"/>
                <w:szCs w:val="20"/>
              </w:rPr>
            </m:ctrlPr>
          </m:sub>
        </m:sSub>
        <m:d>
          <m:dPr>
            <m:ctrlPr>
              <w:rPr>
                <w:rFonts w:ascii="Cambria Math" w:hAnsi="Cambria Math"/>
                <w:sz w:val="20"/>
                <w:szCs w:val="20"/>
                <w:lang w:eastAsia="ja-JP"/>
              </w:rPr>
            </m:ctrlPr>
          </m:dPr>
          <m:e>
            <m:sSub>
              <m:sSubPr>
                <m:ctrlPr>
                  <w:rPr>
                    <w:rFonts w:ascii="Cambria Math" w:hAnsi="Cambria Math"/>
                    <w:sz w:val="20"/>
                    <w:szCs w:val="20"/>
                    <w:lang w:eastAsia="ja-JP"/>
                  </w:rPr>
                </m:ctrlPr>
              </m:sSubPr>
              <m:e>
                <m:r>
                  <m:rPr>
                    <m:sty m:val="p"/>
                  </m:rPr>
                  <w:rPr>
                    <w:rFonts w:ascii="Cambria Math" w:hAnsi="Cambria Math"/>
                    <w:sz w:val="20"/>
                    <w:szCs w:val="20"/>
                    <w:lang w:eastAsia="ja-JP"/>
                  </w:rPr>
                  <m:t>q</m:t>
                </m:r>
                <m:ctrlPr>
                  <w:rPr>
                    <w:rFonts w:ascii="Cambria Math" w:hAnsi="Cambria Math"/>
                    <w:sz w:val="20"/>
                    <w:szCs w:val="20"/>
                    <w:lang w:eastAsia="ja-JP"/>
                  </w:rPr>
                </m:ctrlPr>
              </m:e>
              <m:sub>
                <m:r>
                  <m:rPr>
                    <m:sty m:val="p"/>
                  </m:rPr>
                  <w:rPr>
                    <w:rFonts w:ascii="Cambria Math" w:hAnsi="Cambria Math"/>
                    <w:sz w:val="20"/>
                    <w:szCs w:val="20"/>
                    <w:lang w:eastAsia="ja-JP"/>
                  </w:rPr>
                  <m:t>d</m:t>
                </m:r>
                <m:ctrlPr>
                  <w:rPr>
                    <w:rFonts w:ascii="Cambria Math" w:hAnsi="Cambria Math"/>
                    <w:sz w:val="20"/>
                    <w:szCs w:val="20"/>
                    <w:lang w:eastAsia="ja-JP"/>
                  </w:rPr>
                </m:ctrlPr>
              </m:sub>
            </m:sSub>
            <m:ctrlPr>
              <w:rPr>
                <w:rFonts w:ascii="Cambria Math" w:hAnsi="Cambria Math"/>
                <w:sz w:val="20"/>
                <w:szCs w:val="20"/>
                <w:lang w:eastAsia="ja-JP"/>
              </w:rPr>
            </m:ctrlPr>
          </m:e>
        </m:d>
      </m:oMath>
      <w:r>
        <w:rPr>
          <w:rFonts w:ascii="Times New Roman" w:hAnsi="Times New Roman"/>
          <w:sz w:val="20"/>
          <w:szCs w:val="20"/>
        </w:rPr>
        <w:t xml:space="preserve"> using a RS resource obtained from the SSB of the serving cell that the UE uses to obtain MIB when UE is not provided with </w:t>
      </w:r>
      <w:r>
        <w:rPr>
          <w:rFonts w:ascii="Times New Roman" w:hAnsi="Times New Roman"/>
          <w:i/>
          <w:iCs/>
          <w:sz w:val="20"/>
          <w:szCs w:val="20"/>
          <w:lang w:eastAsia="ja-JP"/>
        </w:rPr>
        <w:t>pathlossReferenceRS-Pos</w:t>
      </w:r>
      <w:r>
        <w:rPr>
          <w:rFonts w:ascii="Times New Roman" w:hAnsi="Times New Roman"/>
          <w:sz w:val="20"/>
          <w:szCs w:val="20"/>
        </w:rPr>
        <w:t xml:space="preserve">. But for LPHAP, UEs are expected to not enter RRC_CONNECTED state frequently. If UE is in the RRC_INACTIVE state and determines that it is not able to accurately measure </w:t>
      </w:r>
      <m:oMath>
        <m:sSub>
          <m:sSubPr>
            <m:ctrlPr>
              <w:rPr>
                <w:rFonts w:ascii="Cambria Math" w:hAnsi="Cambria Math"/>
                <w:sz w:val="20"/>
                <w:szCs w:val="20"/>
              </w:rPr>
            </m:ctrlPr>
          </m:sSubPr>
          <m:e>
            <m:r>
              <m:rPr>
                <m:sty m:val="p"/>
              </m:rPr>
              <w:rPr>
                <w:rFonts w:ascii="Cambria Math" w:hAnsi="Cambria Math"/>
                <w:sz w:val="20"/>
                <w:szCs w:val="20"/>
              </w:rPr>
              <m:t>PL</m:t>
            </m:r>
            <m:ctrlPr>
              <w:rPr>
                <w:rFonts w:ascii="Cambria Math" w:hAnsi="Cambria Math"/>
                <w:sz w:val="20"/>
                <w:szCs w:val="20"/>
              </w:rPr>
            </m:ctrlPr>
          </m:e>
          <m:sub>
            <m:r>
              <m:rPr>
                <m:sty m:val="p"/>
              </m:rPr>
              <w:rPr>
                <w:rFonts w:ascii="Cambria Math" w:hAnsi="Cambria Math"/>
                <w:sz w:val="20"/>
                <w:szCs w:val="20"/>
              </w:rPr>
              <m:t>b,f,c</m:t>
            </m:r>
            <m:ctrlPr>
              <w:rPr>
                <w:rFonts w:ascii="Cambria Math" w:hAnsi="Cambria Math"/>
                <w:sz w:val="20"/>
                <w:szCs w:val="20"/>
              </w:rPr>
            </m:ctrlPr>
          </m:sub>
        </m:sSub>
        <m:d>
          <m:dPr>
            <m:ctrlPr>
              <w:rPr>
                <w:rFonts w:ascii="Cambria Math" w:hAnsi="Cambria Math"/>
                <w:sz w:val="20"/>
                <w:szCs w:val="20"/>
                <w:lang w:eastAsia="ja-JP"/>
              </w:rPr>
            </m:ctrlPr>
          </m:dPr>
          <m:e>
            <m:sSub>
              <m:sSubPr>
                <m:ctrlPr>
                  <w:rPr>
                    <w:rFonts w:ascii="Cambria Math" w:hAnsi="Cambria Math"/>
                    <w:sz w:val="20"/>
                    <w:szCs w:val="20"/>
                    <w:lang w:eastAsia="ja-JP"/>
                  </w:rPr>
                </m:ctrlPr>
              </m:sSubPr>
              <m:e>
                <m:r>
                  <m:rPr>
                    <m:sty m:val="p"/>
                  </m:rPr>
                  <w:rPr>
                    <w:rFonts w:ascii="Cambria Math" w:hAnsi="Cambria Math"/>
                    <w:sz w:val="20"/>
                    <w:szCs w:val="20"/>
                    <w:lang w:eastAsia="ja-JP"/>
                  </w:rPr>
                  <m:t>q</m:t>
                </m:r>
                <m:ctrlPr>
                  <w:rPr>
                    <w:rFonts w:ascii="Cambria Math" w:hAnsi="Cambria Math"/>
                    <w:sz w:val="20"/>
                    <w:szCs w:val="20"/>
                    <w:lang w:eastAsia="ja-JP"/>
                  </w:rPr>
                </m:ctrlPr>
              </m:e>
              <m:sub>
                <m:r>
                  <m:rPr>
                    <m:sty m:val="p"/>
                  </m:rPr>
                  <w:rPr>
                    <w:rFonts w:ascii="Cambria Math" w:hAnsi="Cambria Math"/>
                    <w:sz w:val="20"/>
                    <w:szCs w:val="20"/>
                    <w:lang w:eastAsia="ja-JP"/>
                  </w:rPr>
                  <m:t>d</m:t>
                </m:r>
                <m:ctrlPr>
                  <w:rPr>
                    <w:rFonts w:ascii="Cambria Math" w:hAnsi="Cambria Math"/>
                    <w:sz w:val="20"/>
                    <w:szCs w:val="20"/>
                    <w:lang w:eastAsia="ja-JP"/>
                  </w:rPr>
                </m:ctrlPr>
              </m:sub>
            </m:sSub>
            <m:ctrlPr>
              <w:rPr>
                <w:rFonts w:ascii="Cambria Math" w:hAnsi="Cambria Math"/>
                <w:sz w:val="20"/>
                <w:szCs w:val="20"/>
                <w:lang w:eastAsia="ja-JP"/>
              </w:rPr>
            </m:ctrlPr>
          </m:e>
        </m:d>
      </m:oMath>
      <w:r>
        <w:rPr>
          <w:rFonts w:ascii="Times New Roman" w:hAnsi="Times New Roman"/>
          <w:sz w:val="20"/>
          <w:szCs w:val="20"/>
          <w:lang w:eastAsia="ja-JP"/>
        </w:rPr>
        <w:t xml:space="preserve">, the UE </w:t>
      </w:r>
      <w:r>
        <w:rPr>
          <w:rFonts w:ascii="Times New Roman" w:hAnsi="Times New Roman"/>
          <w:sz w:val="20"/>
          <w:szCs w:val="20"/>
        </w:rPr>
        <w:t>will not</w:t>
      </w:r>
      <w:r>
        <w:rPr>
          <w:rFonts w:ascii="Times New Roman" w:hAnsi="Times New Roman"/>
          <w:sz w:val="20"/>
          <w:szCs w:val="20"/>
          <w:lang w:eastAsia="ja-JP"/>
        </w:rPr>
        <w:t xml:space="preserve"> transmit SRS </w:t>
      </w:r>
      <w:r>
        <w:rPr>
          <w:rFonts w:ascii="Times New Roman" w:hAnsi="Times New Roman"/>
          <w:sz w:val="20"/>
          <w:szCs w:val="20"/>
        </w:rPr>
        <w:t xml:space="preserve">in the configured </w:t>
      </w:r>
      <w:r>
        <w:rPr>
          <w:rFonts w:ascii="Times New Roman" w:hAnsi="Times New Roman"/>
          <w:sz w:val="20"/>
          <w:szCs w:val="20"/>
          <w:lang w:eastAsia="ja-JP"/>
        </w:rPr>
        <w:t>SRS resource set.</w:t>
      </w:r>
      <w:r>
        <w:rPr>
          <w:rFonts w:ascii="Times New Roman" w:hAnsi="Times New Roman"/>
          <w:sz w:val="20"/>
          <w:szCs w:val="20"/>
        </w:rPr>
        <w:t xml:space="preserve"> Moreover, the need for fields to be present for </w:t>
      </w:r>
      <w:r>
        <w:rPr>
          <w:rFonts w:ascii="Times New Roman" w:hAnsi="Times New Roman"/>
          <w:i/>
          <w:iCs/>
          <w:sz w:val="20"/>
          <w:szCs w:val="20"/>
          <w:lang w:eastAsia="ja-JP"/>
        </w:rPr>
        <w:t>pathlossReferenceRS-Pos</w:t>
      </w:r>
      <w:r>
        <w:rPr>
          <w:rFonts w:ascii="Times New Roman" w:hAnsi="Times New Roman"/>
          <w:sz w:val="20"/>
          <w:szCs w:val="20"/>
        </w:rPr>
        <w:t xml:space="preserve"> is Need M, which means, upon receiving a message with the field absent, the UE maintains the current value. However, if UE moves to a new cell while maintaining the previous </w:t>
      </w:r>
      <w:r>
        <w:rPr>
          <w:rFonts w:ascii="Times New Roman" w:hAnsi="Times New Roman"/>
          <w:i/>
          <w:iCs/>
          <w:sz w:val="20"/>
          <w:szCs w:val="20"/>
          <w:lang w:eastAsia="ja-JP"/>
        </w:rPr>
        <w:t>pathlossReferenceRS-Pos</w:t>
      </w:r>
      <w:r>
        <w:rPr>
          <w:rFonts w:ascii="Times New Roman" w:hAnsi="Times New Roman"/>
          <w:sz w:val="20"/>
          <w:szCs w:val="20"/>
        </w:rPr>
        <w:t xml:space="preserve"> configuration, UE cannot measure </w:t>
      </w:r>
      <m:oMath>
        <m:sSub>
          <m:sSubPr>
            <m:ctrlPr>
              <w:rPr>
                <w:rFonts w:ascii="Cambria Math" w:hAnsi="Cambria Math"/>
                <w:sz w:val="20"/>
                <w:szCs w:val="20"/>
              </w:rPr>
            </m:ctrlPr>
          </m:sSubPr>
          <m:e>
            <m:r>
              <m:rPr>
                <m:sty m:val="p"/>
              </m:rPr>
              <w:rPr>
                <w:rFonts w:ascii="Cambria Math" w:hAnsi="Cambria Math"/>
                <w:sz w:val="20"/>
                <w:szCs w:val="20"/>
              </w:rPr>
              <m:t>PL</m:t>
            </m:r>
            <m:ctrlPr>
              <w:rPr>
                <w:rFonts w:ascii="Cambria Math" w:hAnsi="Cambria Math"/>
                <w:sz w:val="20"/>
                <w:szCs w:val="20"/>
              </w:rPr>
            </m:ctrlPr>
          </m:e>
          <m:sub>
            <m:r>
              <m:rPr>
                <m:sty m:val="p"/>
              </m:rPr>
              <w:rPr>
                <w:rFonts w:ascii="Cambria Math" w:hAnsi="Cambria Math"/>
                <w:sz w:val="20"/>
                <w:szCs w:val="20"/>
              </w:rPr>
              <m:t>b,f,c</m:t>
            </m:r>
            <m:ctrlPr>
              <w:rPr>
                <w:rFonts w:ascii="Cambria Math" w:hAnsi="Cambria Math"/>
                <w:sz w:val="20"/>
                <w:szCs w:val="20"/>
              </w:rPr>
            </m:ctrlPr>
          </m:sub>
        </m:sSub>
        <m:d>
          <m:dPr>
            <m:ctrlPr>
              <w:rPr>
                <w:rFonts w:ascii="Cambria Math" w:hAnsi="Cambria Math"/>
                <w:sz w:val="20"/>
                <w:szCs w:val="20"/>
                <w:lang w:eastAsia="ja-JP"/>
              </w:rPr>
            </m:ctrlPr>
          </m:dPr>
          <m:e>
            <m:sSub>
              <m:sSubPr>
                <m:ctrlPr>
                  <w:rPr>
                    <w:rFonts w:ascii="Cambria Math" w:hAnsi="Cambria Math"/>
                    <w:sz w:val="20"/>
                    <w:szCs w:val="20"/>
                    <w:lang w:eastAsia="ja-JP"/>
                  </w:rPr>
                </m:ctrlPr>
              </m:sSubPr>
              <m:e>
                <m:r>
                  <m:rPr>
                    <m:sty m:val="p"/>
                  </m:rPr>
                  <w:rPr>
                    <w:rFonts w:ascii="Cambria Math" w:hAnsi="Cambria Math"/>
                    <w:sz w:val="20"/>
                    <w:szCs w:val="20"/>
                    <w:lang w:eastAsia="ja-JP"/>
                  </w:rPr>
                  <m:t>q</m:t>
                </m:r>
                <m:ctrlPr>
                  <w:rPr>
                    <w:rFonts w:ascii="Cambria Math" w:hAnsi="Cambria Math"/>
                    <w:sz w:val="20"/>
                    <w:szCs w:val="20"/>
                    <w:lang w:eastAsia="ja-JP"/>
                  </w:rPr>
                </m:ctrlPr>
              </m:e>
              <m:sub>
                <m:r>
                  <m:rPr>
                    <m:sty m:val="p"/>
                  </m:rPr>
                  <w:rPr>
                    <w:rFonts w:ascii="Cambria Math" w:hAnsi="Cambria Math"/>
                    <w:sz w:val="20"/>
                    <w:szCs w:val="20"/>
                    <w:lang w:eastAsia="ja-JP"/>
                  </w:rPr>
                  <m:t>d</m:t>
                </m:r>
                <m:ctrlPr>
                  <w:rPr>
                    <w:rFonts w:ascii="Cambria Math" w:hAnsi="Cambria Math"/>
                    <w:sz w:val="20"/>
                    <w:szCs w:val="20"/>
                    <w:lang w:eastAsia="ja-JP"/>
                  </w:rPr>
                </m:ctrlPr>
              </m:sub>
            </m:sSub>
            <m:ctrlPr>
              <w:rPr>
                <w:rFonts w:ascii="Cambria Math" w:hAnsi="Cambria Math"/>
                <w:sz w:val="20"/>
                <w:szCs w:val="20"/>
                <w:lang w:eastAsia="ja-JP"/>
              </w:rPr>
            </m:ctrlPr>
          </m:e>
        </m:d>
      </m:oMath>
      <w:r>
        <w:rPr>
          <w:rFonts w:ascii="Times New Roman" w:hAnsi="Times New Roman"/>
          <w:sz w:val="20"/>
          <w:szCs w:val="20"/>
        </w:rPr>
        <w:t xml:space="preserve"> accurately, the SRS resource cannot be transmitted successfully. Therefore, the </w:t>
      </w:r>
      <w:r>
        <w:rPr>
          <w:rFonts w:ascii="Times New Roman" w:hAnsi="Times New Roman"/>
          <w:i/>
          <w:iCs/>
          <w:sz w:val="20"/>
          <w:szCs w:val="20"/>
        </w:rPr>
        <w:t>pathlossReferenceRS-Pos</w:t>
      </w:r>
      <w:r>
        <w:rPr>
          <w:rFonts w:ascii="Times New Roman" w:hAnsi="Times New Roman"/>
          <w:sz w:val="20"/>
          <w:szCs w:val="20"/>
        </w:rPr>
        <w:t xml:space="preserve"> is invalid for SRS transmission power determination for UE not in RRC_CONNECTED state when UE camps on a new cell. </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From another perspective,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O_SRS,b,f,c</m:t>
            </m:r>
            <m:ctrlPr>
              <w:rPr>
                <w:rFonts w:ascii="Cambria Math" w:hAnsi="Cambria Math"/>
                <w:sz w:val="20"/>
                <w:szCs w:val="20"/>
              </w:rPr>
            </m:ctrlPr>
          </m:sub>
        </m:sSub>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lang w:eastAsia="zh-CN"/>
                  </w:rPr>
                  <m:t>q</m:t>
                </m:r>
                <m:ctrlPr>
                  <w:rPr>
                    <w:rFonts w:ascii="Cambria Math" w:hAnsi="Cambria Math"/>
                    <w:sz w:val="20"/>
                    <w:szCs w:val="20"/>
                  </w:rPr>
                </m:ctrlPr>
              </m:e>
              <m:sub>
                <m:r>
                  <m:rPr>
                    <m:sty m:val="p"/>
                  </m:rPr>
                  <w:rPr>
                    <w:rFonts w:ascii="Cambria Math" w:hAnsi="Cambria Math"/>
                    <w:sz w:val="20"/>
                    <w:szCs w:val="20"/>
                    <w:lang w:eastAsia="zh-CN"/>
                  </w:rPr>
                  <m:t>s</m:t>
                </m:r>
                <m:ctrlPr>
                  <w:rPr>
                    <w:rFonts w:ascii="Cambria Math" w:hAnsi="Cambria Math"/>
                    <w:sz w:val="20"/>
                    <w:szCs w:val="20"/>
                  </w:rPr>
                </m:ctrlPr>
              </m:sub>
            </m:sSub>
            <m:ctrlPr>
              <w:rPr>
                <w:rFonts w:ascii="Cambria Math" w:hAnsi="Cambria Math"/>
                <w:sz w:val="20"/>
                <w:szCs w:val="20"/>
              </w:rPr>
            </m:ctrlPr>
          </m:e>
        </m:d>
      </m:oMath>
      <w:r>
        <w:rPr>
          <w:rFonts w:ascii="Times New Roman"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α</m:t>
            </m:r>
            <m:ctrlPr>
              <w:rPr>
                <w:rFonts w:ascii="Cambria Math" w:hAnsi="Cambria Math"/>
                <w:sz w:val="20"/>
                <w:szCs w:val="20"/>
              </w:rPr>
            </m:ctrlPr>
          </m:e>
          <m:sub>
            <m:r>
              <m:rPr>
                <m:sty m:val="p"/>
              </m:rPr>
              <w:rPr>
                <w:rFonts w:ascii="Cambria Math" w:hAnsi="Cambria Math"/>
                <w:sz w:val="20"/>
                <w:szCs w:val="20"/>
              </w:rPr>
              <m:t>SRS,b,f,c</m:t>
            </m:r>
            <m:ctrlPr>
              <w:rPr>
                <w:rFonts w:ascii="Cambria Math" w:hAnsi="Cambria Math"/>
                <w:sz w:val="20"/>
                <w:szCs w:val="20"/>
              </w:rPr>
            </m:ctrlPr>
          </m:sub>
        </m:sSub>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q</m:t>
                </m:r>
                <m:ctrlPr>
                  <w:rPr>
                    <w:rFonts w:ascii="Cambria Math" w:hAnsi="Cambria Math"/>
                    <w:sz w:val="20"/>
                    <w:szCs w:val="20"/>
                  </w:rPr>
                </m:ctrlPr>
              </m:e>
              <m:sub>
                <m:r>
                  <m:rPr>
                    <m:sty m:val="p"/>
                  </m:rPr>
                  <w:rPr>
                    <w:rFonts w:ascii="Cambria Math" w:hAnsi="Cambria Math"/>
                    <w:sz w:val="20"/>
                    <w:szCs w:val="20"/>
                  </w:rPr>
                  <m:t>s</m:t>
                </m:r>
                <m:ctrlPr>
                  <w:rPr>
                    <w:rFonts w:ascii="Cambria Math" w:hAnsi="Cambria Math"/>
                    <w:sz w:val="20"/>
                    <w:szCs w:val="20"/>
                  </w:rPr>
                </m:ctrlPr>
              </m:sub>
            </m:sSub>
            <m:ctrlPr>
              <w:rPr>
                <w:rFonts w:ascii="Cambria Math" w:hAnsi="Cambria Math"/>
                <w:sz w:val="20"/>
                <w:szCs w:val="20"/>
              </w:rPr>
            </m:ctrlPr>
          </m:e>
        </m:d>
      </m:oMath>
      <w:r>
        <w:rPr>
          <w:rFonts w:ascii="Times New Roman" w:hAnsi="Times New Roman"/>
          <w:sz w:val="20"/>
          <w:szCs w:val="20"/>
        </w:rPr>
        <w:t xml:space="preserve"> are provided by </w:t>
      </w:r>
      <w:r>
        <w:rPr>
          <w:rFonts w:ascii="Times New Roman" w:hAnsi="Times New Roman"/>
          <w:i/>
          <w:iCs/>
          <w:sz w:val="20"/>
          <w:szCs w:val="20"/>
        </w:rPr>
        <w:t>p0-r16</w:t>
      </w:r>
      <w:r>
        <w:rPr>
          <w:rFonts w:ascii="Times New Roman" w:hAnsi="Times New Roman"/>
          <w:sz w:val="20"/>
          <w:szCs w:val="20"/>
        </w:rPr>
        <w:t xml:space="preserve"> and </w:t>
      </w:r>
      <w:r>
        <w:rPr>
          <w:rFonts w:ascii="Times New Roman" w:hAnsi="Times New Roman"/>
          <w:i/>
          <w:iCs/>
          <w:sz w:val="20"/>
          <w:szCs w:val="20"/>
        </w:rPr>
        <w:t>alpha-r16</w:t>
      </w:r>
      <w:r>
        <w:rPr>
          <w:rFonts w:ascii="Times New Roman" w:hAnsi="Times New Roman"/>
          <w:sz w:val="20"/>
          <w:szCs w:val="20"/>
        </w:rPr>
        <w:t xml:space="preserve">, for active UL BWP </w:t>
      </w:r>
      <m:oMath>
        <m:r>
          <m:rPr>
            <m:sty m:val="p"/>
          </m:rPr>
          <w:rPr>
            <w:rFonts w:ascii="Cambria Math" w:hAnsi="Cambria Math"/>
            <w:sz w:val="20"/>
            <w:szCs w:val="20"/>
            <w:lang w:eastAsia="ja-JP"/>
          </w:rPr>
          <m:t>b</m:t>
        </m:r>
      </m:oMath>
      <w:r>
        <w:rPr>
          <w:rFonts w:ascii="Times New Roman" w:hAnsi="Times New Roman"/>
          <w:sz w:val="20"/>
          <w:szCs w:val="20"/>
        </w:rPr>
        <w:t xml:space="preserve"> of carrier </w:t>
      </w:r>
      <m:oMath>
        <m:r>
          <m:rPr>
            <m:sty m:val="p"/>
          </m:rPr>
          <w:rPr>
            <w:rFonts w:ascii="Cambria Math" w:hAnsi="Cambria Math"/>
            <w:sz w:val="20"/>
            <w:szCs w:val="20"/>
            <w:lang w:eastAsia="ja-JP"/>
          </w:rPr>
          <m:t>f</m:t>
        </m:r>
      </m:oMath>
      <w:r>
        <w:rPr>
          <w:rFonts w:ascii="Times New Roman" w:hAnsi="Times New Roman"/>
          <w:sz w:val="20"/>
          <w:szCs w:val="20"/>
        </w:rPr>
        <w:t xml:space="preserve"> of serving cell </w:t>
      </w:r>
      <m:oMath>
        <m:r>
          <m:rPr>
            <m:sty m:val="p"/>
          </m:rPr>
          <w:rPr>
            <w:rFonts w:ascii="Cambria Math" w:hAnsi="Cambria Math"/>
            <w:sz w:val="20"/>
            <w:szCs w:val="20"/>
            <w:lang w:eastAsia="ja-JP"/>
          </w:rPr>
          <m:t>c</m:t>
        </m:r>
      </m:oMath>
      <w:r>
        <w:rPr>
          <w:rFonts w:ascii="Times New Roman" w:hAnsi="Times New Roman"/>
          <w:sz w:val="20"/>
          <w:szCs w:val="20"/>
          <w:lang w:eastAsia="ja-JP"/>
        </w:rPr>
        <w:t>,</w:t>
      </w:r>
      <w:r>
        <w:rPr>
          <w:rFonts w:ascii="Times New Roman" w:hAnsi="Times New Roman"/>
          <w:sz w:val="20"/>
          <w:szCs w:val="20"/>
        </w:rPr>
        <w:t xml:space="preserve"> and SRS resource set </w:t>
      </w:r>
      <m:oMath>
        <m:sSub>
          <m:sSubPr>
            <m:ctrlPr>
              <w:rPr>
                <w:rFonts w:ascii="Cambria Math" w:hAnsi="Cambria Math"/>
                <w:sz w:val="20"/>
                <w:szCs w:val="20"/>
                <w:lang w:eastAsia="ja-JP"/>
              </w:rPr>
            </m:ctrlPr>
          </m:sSubPr>
          <m:e>
            <m:r>
              <m:rPr>
                <m:sty m:val="p"/>
              </m:rPr>
              <w:rPr>
                <w:rFonts w:ascii="Cambria Math" w:hAnsi="Cambria Math"/>
                <w:sz w:val="20"/>
                <w:szCs w:val="20"/>
                <w:lang w:eastAsia="ja-JP"/>
              </w:rPr>
              <m:t>q</m:t>
            </m:r>
            <m:ctrlPr>
              <w:rPr>
                <w:rFonts w:ascii="Cambria Math" w:hAnsi="Cambria Math"/>
                <w:sz w:val="20"/>
                <w:szCs w:val="20"/>
                <w:lang w:eastAsia="ja-JP"/>
              </w:rPr>
            </m:ctrlPr>
          </m:e>
          <m:sub>
            <m:r>
              <m:rPr>
                <m:sty m:val="p"/>
              </m:rPr>
              <w:rPr>
                <w:rFonts w:ascii="Cambria Math" w:hAnsi="Cambria Math"/>
                <w:sz w:val="20"/>
                <w:szCs w:val="20"/>
                <w:lang w:eastAsia="ja-JP"/>
              </w:rPr>
              <m:t>s</m:t>
            </m:r>
            <m:ctrlPr>
              <w:rPr>
                <w:rFonts w:ascii="Cambria Math" w:hAnsi="Cambria Math"/>
                <w:sz w:val="20"/>
                <w:szCs w:val="20"/>
                <w:lang w:eastAsia="ja-JP"/>
              </w:rPr>
            </m:ctrlPr>
          </m:sub>
        </m:sSub>
      </m:oMath>
      <w:r>
        <w:rPr>
          <w:rFonts w:ascii="Times New Roman" w:hAnsi="Times New Roman"/>
          <w:sz w:val="20"/>
          <w:szCs w:val="20"/>
        </w:rPr>
        <w:t xml:space="preserve">. When UE camps on a new cell, </w:t>
      </w:r>
      <w:r>
        <w:rPr>
          <w:rFonts w:ascii="Times New Roman" w:hAnsi="Times New Roman"/>
          <w:i/>
          <w:iCs/>
          <w:sz w:val="20"/>
          <w:szCs w:val="20"/>
        </w:rPr>
        <w:t>p0</w:t>
      </w:r>
      <w:r>
        <w:rPr>
          <w:rFonts w:ascii="Times New Roman" w:hAnsi="Times New Roman"/>
          <w:sz w:val="20"/>
          <w:szCs w:val="20"/>
        </w:rPr>
        <w:t xml:space="preserve"> and </w:t>
      </w:r>
      <w:r>
        <w:rPr>
          <w:rFonts w:ascii="Times New Roman" w:hAnsi="Times New Roman"/>
          <w:i/>
          <w:iCs/>
          <w:sz w:val="20"/>
          <w:szCs w:val="20"/>
        </w:rPr>
        <w:t xml:space="preserve">alpha </w:t>
      </w:r>
      <w:r>
        <w:rPr>
          <w:rFonts w:ascii="Times New Roman" w:hAnsi="Times New Roman"/>
          <w:sz w:val="20"/>
          <w:szCs w:val="20"/>
        </w:rPr>
        <w:t>could be different from the previous serving cell. Hence, we have the following observation:</w:t>
      </w:r>
    </w:p>
    <w:p>
      <w:pPr>
        <w:pStyle w:val="15"/>
        <w:adjustRightInd w:val="0"/>
        <w:snapToGrid w:val="0"/>
        <w:spacing w:before="180" w:beforeLines="50" w:after="180" w:afterLines="50"/>
        <w:jc w:val="both"/>
        <w:rPr>
          <w:i/>
          <w:iCs/>
          <w:lang w:val="en-US" w:eastAsia="zh-CN"/>
        </w:rPr>
      </w:pPr>
      <w:bookmarkStart w:id="20" w:name="_Ref21665"/>
      <w:r>
        <w:rPr>
          <w:i/>
          <w:iCs/>
        </w:rPr>
        <w:t xml:space="preserve">Observation </w:t>
      </w:r>
      <w:r>
        <w:rPr>
          <w:i/>
          <w:iCs/>
        </w:rPr>
        <w:fldChar w:fldCharType="begin"/>
      </w:r>
      <w:r>
        <w:rPr>
          <w:i/>
          <w:iCs/>
        </w:rPr>
        <w:instrText xml:space="preserve"> SEQ Observation \* ARABIC </w:instrText>
      </w:r>
      <w:r>
        <w:rPr>
          <w:i/>
          <w:iCs/>
        </w:rPr>
        <w:fldChar w:fldCharType="separate"/>
      </w:r>
      <w:r>
        <w:rPr>
          <w:i/>
          <w:iCs/>
        </w:rPr>
        <w:t>4</w:t>
      </w:r>
      <w:r>
        <w:rPr>
          <w:i/>
          <w:iCs/>
        </w:rPr>
        <w:fldChar w:fldCharType="end"/>
      </w:r>
      <w:r>
        <w:rPr>
          <w:i/>
          <w:iCs/>
          <w:lang w:val="en-US" w:eastAsia="zh-CN"/>
        </w:rPr>
        <w:t xml:space="preserve">: Power control related parameters include pathloss reference, p0 and alpha </w:t>
      </w:r>
      <w:r>
        <w:rPr>
          <w:rFonts w:hint="eastAsia"/>
          <w:i/>
          <w:iCs/>
          <w:lang w:val="en-US" w:eastAsia="zh-CN"/>
        </w:rPr>
        <w:t>cannot be reused in multiple cells,</w:t>
      </w:r>
      <w:r>
        <w:rPr>
          <w:i/>
          <w:iCs/>
          <w:lang w:val="en-US" w:eastAsia="zh-CN"/>
        </w:rPr>
        <w:t xml:space="preserve"> these configurations are regarded as invalid when UE camps on a new cell. </w:t>
      </w:r>
      <w:bookmarkEnd w:id="20"/>
    </w:p>
    <w:p>
      <w:pPr>
        <w:adjustRightInd w:val="0"/>
        <w:snapToGrid w:val="0"/>
        <w:spacing w:after="180" w:afterLines="50" w:line="240" w:lineRule="auto"/>
        <w:jc w:val="both"/>
        <w:rPr>
          <w:rFonts w:ascii="Times New Roman" w:hAnsi="Times New Roman"/>
          <w:sz w:val="20"/>
          <w:szCs w:val="20"/>
        </w:rPr>
      </w:pPr>
      <w:r>
        <w:rPr>
          <w:rFonts w:hint="eastAsia" w:ascii="Times New Roman" w:hAnsi="Times New Roman"/>
          <w:sz w:val="20"/>
          <w:szCs w:val="20"/>
        </w:rPr>
        <w:t>In the following, we will analysis the pathloss RS determination details with the options provided in the agreement.</w:t>
      </w:r>
    </w:p>
    <w:p>
      <w:pPr>
        <w:pStyle w:val="5"/>
        <w:spacing w:before="10" w:after="180" w:afterLines="50"/>
        <w:ind w:firstLine="211"/>
        <w:rPr>
          <w:sz w:val="21"/>
          <w:szCs w:val="21"/>
          <w:lang w:val="en-US"/>
        </w:rPr>
      </w:pPr>
      <w:r>
        <w:rPr>
          <w:rFonts w:hint="eastAsia"/>
          <w:sz w:val="21"/>
          <w:szCs w:val="21"/>
          <w:lang w:val="en-US"/>
        </w:rPr>
        <w:t>Pathloss RS is absent in the configuration</w:t>
      </w:r>
    </w:p>
    <w:p>
      <w:pPr>
        <w:adjustRightInd w:val="0"/>
        <w:snapToGrid w:val="0"/>
        <w:spacing w:after="180" w:afterLines="50" w:line="240" w:lineRule="auto"/>
        <w:jc w:val="both"/>
        <w:rPr>
          <w:rFonts w:ascii="Times New Roman" w:hAnsi="Times New Roman"/>
          <w:sz w:val="20"/>
          <w:szCs w:val="20"/>
        </w:rPr>
      </w:pPr>
      <w:r>
        <w:rPr>
          <w:rFonts w:hint="eastAsia" w:ascii="Times New Roman" w:hAnsi="Times New Roman"/>
          <w:sz w:val="20"/>
          <w:szCs w:val="20"/>
        </w:rPr>
        <w:t>For option 1, if pathloss RS is absent in the configuration, it</w:t>
      </w:r>
      <w:r>
        <w:rPr>
          <w:rFonts w:ascii="Times New Roman" w:hAnsi="Times New Roman"/>
          <w:sz w:val="20"/>
          <w:szCs w:val="20"/>
        </w:rPr>
        <w:t>’</w:t>
      </w:r>
      <w:r>
        <w:rPr>
          <w:rFonts w:hint="eastAsia" w:ascii="Times New Roman" w:hAnsi="Times New Roman"/>
          <w:sz w:val="20"/>
          <w:szCs w:val="20"/>
        </w:rPr>
        <w:t xml:space="preserve">s up to UE implementation when selecting pathloss RS. UE can measure and select reference signals with a certain RSRP limitation as </w:t>
      </w:r>
      <w:r>
        <w:rPr>
          <w:rFonts w:hint="eastAsia" w:ascii="Times New Roman" w:hAnsi="Times New Roman"/>
          <w:i/>
          <w:iCs/>
          <w:sz w:val="20"/>
          <w:szCs w:val="20"/>
          <w:lang w:eastAsia="ja-JP"/>
        </w:rPr>
        <w:t>pathlossReferenceRS-Pos</w:t>
      </w:r>
      <w:r>
        <w:rPr>
          <w:rFonts w:hint="eastAsia" w:ascii="Times New Roman" w:hAnsi="Times New Roman"/>
          <w:sz w:val="20"/>
          <w:szCs w:val="20"/>
        </w:rPr>
        <w:t xml:space="preserve"> for positioning SRS transmission. And the following pathloss RS selection criterion should be considered:</w:t>
      </w:r>
    </w:p>
    <w:p>
      <w:pPr>
        <w:adjustRightInd w:val="0"/>
        <w:snapToGrid w:val="0"/>
        <w:spacing w:after="180" w:afterLines="50" w:line="240" w:lineRule="auto"/>
        <w:jc w:val="both"/>
        <w:rPr>
          <w:rFonts w:ascii="Times New Roman" w:hAnsi="Times New Roman"/>
          <w:sz w:val="20"/>
          <w:szCs w:val="20"/>
        </w:rPr>
      </w:pPr>
      <w:r>
        <w:rPr>
          <w:rFonts w:hint="eastAsia" w:ascii="Times New Roman" w:hAnsi="Times New Roman"/>
          <w:b/>
          <w:bCs/>
          <w:sz w:val="20"/>
          <w:szCs w:val="20"/>
          <w:u w:val="single"/>
        </w:rPr>
        <w:t>Beam quality limitation:</w:t>
      </w:r>
      <w:r>
        <w:rPr>
          <w:rFonts w:hint="eastAsia" w:ascii="Times New Roman" w:hAnsi="Times New Roman"/>
          <w:sz w:val="20"/>
          <w:szCs w:val="20"/>
        </w:rPr>
        <w:t xml:space="preserve"> For example, UE can select the pathloss RS of SRS for positioning as the received signals with the highest RSRP within the validity area. From another perspective, UE can also measure the RSRP of SSB with index </w:t>
      </w:r>
      <w:r>
        <w:rPr>
          <w:rFonts w:hint="eastAsia" w:ascii="Times New Roman" w:hAnsi="Times New Roman"/>
          <w:i/>
          <w:iCs/>
          <w:sz w:val="20"/>
          <w:szCs w:val="20"/>
        </w:rPr>
        <w:t>k</w:t>
      </w:r>
      <w:r>
        <w:rPr>
          <w:rFonts w:hint="eastAsia" w:ascii="Times New Roman" w:hAnsi="Times New Roman"/>
          <w:sz w:val="20"/>
          <w:szCs w:val="20"/>
        </w:rPr>
        <w:t xml:space="preserve"> from different cells. Let avg(RSRP </w:t>
      </w:r>
      <w:r>
        <w:rPr>
          <w:rFonts w:hint="eastAsia" w:ascii="Times New Roman" w:hAnsi="Times New Roman"/>
          <w:i/>
          <w:iCs/>
          <w:sz w:val="20"/>
          <w:szCs w:val="20"/>
        </w:rPr>
        <w:t>k</w:t>
      </w:r>
      <w:r>
        <w:rPr>
          <w:rFonts w:hint="eastAsia" w:ascii="Times New Roman" w:hAnsi="Times New Roman"/>
          <w:sz w:val="20"/>
          <w:szCs w:val="20"/>
        </w:rPr>
        <w:t xml:space="preserve">,cell </w:t>
      </w:r>
      <w:r>
        <w:rPr>
          <w:rFonts w:hint="eastAsia" w:ascii="Times New Roman" w:hAnsi="Times New Roman"/>
          <w:i/>
          <w:iCs/>
          <w:sz w:val="20"/>
          <w:szCs w:val="20"/>
        </w:rPr>
        <w:t>i</w:t>
      </w:r>
      <w:r>
        <w:rPr>
          <w:rFonts w:hint="eastAsia" w:ascii="Times New Roman" w:hAnsi="Times New Roman"/>
          <w:sz w:val="20"/>
          <w:szCs w:val="20"/>
        </w:rPr>
        <w:t xml:space="preserve">) denote the average RSRP of SSB </w:t>
      </w:r>
      <w:r>
        <w:rPr>
          <w:rFonts w:hint="eastAsia" w:ascii="Times New Roman" w:hAnsi="Times New Roman"/>
          <w:i/>
          <w:iCs/>
          <w:sz w:val="20"/>
          <w:szCs w:val="20"/>
        </w:rPr>
        <w:t>k</w:t>
      </w:r>
      <w:r>
        <w:rPr>
          <w:rFonts w:hint="eastAsia" w:ascii="Times New Roman" w:hAnsi="Times New Roman"/>
          <w:sz w:val="20"/>
          <w:szCs w:val="20"/>
        </w:rPr>
        <w:t xml:space="preserve"> </w:t>
      </w:r>
      <w:r>
        <w:rPr>
          <w:rFonts w:hint="eastAsia" w:ascii="Times New Roman" w:hAnsi="Times New Roman"/>
          <w:sz w:val="20"/>
          <w:szCs w:val="20"/>
          <w:lang w:val="en-US" w:eastAsia="zh-CN"/>
        </w:rPr>
        <w:t xml:space="preserve">in time domain </w:t>
      </w:r>
      <w:r>
        <w:rPr>
          <w:rFonts w:hint="eastAsia" w:ascii="Times New Roman" w:hAnsi="Times New Roman"/>
          <w:sz w:val="20"/>
          <w:szCs w:val="20"/>
        </w:rPr>
        <w:t xml:space="preserve">transmitted in cell </w:t>
      </w:r>
      <w:r>
        <w:rPr>
          <w:rFonts w:hint="eastAsia" w:ascii="Times New Roman" w:hAnsi="Times New Roman"/>
          <w:i/>
          <w:iCs/>
          <w:sz w:val="20"/>
          <w:szCs w:val="20"/>
        </w:rPr>
        <w:t>i</w:t>
      </w:r>
      <w:r>
        <w:rPr>
          <w:rFonts w:hint="eastAsia" w:ascii="Times New Roman" w:hAnsi="Times New Roman"/>
          <w:sz w:val="20"/>
          <w:szCs w:val="20"/>
        </w:rPr>
        <w:t xml:space="preserve">, UE will select SSB from the cells whose avg(RSRP </w:t>
      </w:r>
      <w:r>
        <w:rPr>
          <w:rFonts w:hint="eastAsia" w:ascii="Times New Roman" w:hAnsi="Times New Roman"/>
          <w:i/>
          <w:iCs/>
          <w:sz w:val="20"/>
          <w:szCs w:val="20"/>
        </w:rPr>
        <w:t>k</w:t>
      </w:r>
      <w:r>
        <w:rPr>
          <w:rFonts w:hint="eastAsia" w:ascii="Times New Roman" w:hAnsi="Times New Roman"/>
          <w:sz w:val="20"/>
          <w:szCs w:val="20"/>
        </w:rPr>
        <w:t xml:space="preserve">,cell </w:t>
      </w:r>
      <w:r>
        <w:rPr>
          <w:rFonts w:hint="eastAsia" w:ascii="Times New Roman" w:hAnsi="Times New Roman"/>
          <w:i/>
          <w:iCs/>
          <w:sz w:val="20"/>
          <w:szCs w:val="20"/>
        </w:rPr>
        <w:t>i</w:t>
      </w:r>
      <w:r>
        <w:rPr>
          <w:rFonts w:hint="eastAsia" w:ascii="Times New Roman" w:hAnsi="Times New Roman"/>
          <w:sz w:val="20"/>
          <w:szCs w:val="20"/>
        </w:rPr>
        <w:t xml:space="preserve">) meets a certain RSRP limitation as its pathloss RS. </w:t>
      </w:r>
    </w:p>
    <w:p>
      <w:pPr>
        <w:adjustRightInd w:val="0"/>
        <w:snapToGrid w:val="0"/>
        <w:spacing w:after="180" w:afterLines="50" w:line="240" w:lineRule="auto"/>
        <w:jc w:val="both"/>
        <w:rPr>
          <w:rFonts w:ascii="Times New Roman" w:hAnsi="Times New Roman"/>
          <w:sz w:val="20"/>
          <w:szCs w:val="20"/>
        </w:rPr>
      </w:pPr>
      <w:r>
        <w:rPr>
          <w:rFonts w:hint="eastAsia" w:ascii="Times New Roman" w:hAnsi="Times New Roman"/>
          <w:b/>
          <w:bCs/>
          <w:sz w:val="20"/>
          <w:szCs w:val="20"/>
          <w:u w:val="single"/>
        </w:rPr>
        <w:t>The number of pathloss RS to be selected:</w:t>
      </w:r>
      <w:r>
        <w:rPr>
          <w:rFonts w:hint="eastAsia" w:ascii="Times New Roman" w:hAnsi="Times New Roman"/>
          <w:sz w:val="20"/>
          <w:szCs w:val="20"/>
        </w:rPr>
        <w:t xml:space="preserve"> Considering that the pathloss RS is configured per SRS resource set, the exact number of pathloss RS to be selected can be determined based on the number of resource sets configured for a UE or up to UE</w:t>
      </w:r>
      <w:r>
        <w:rPr>
          <w:rFonts w:ascii="Times New Roman" w:hAnsi="Times New Roman"/>
          <w:sz w:val="20"/>
          <w:szCs w:val="20"/>
        </w:rPr>
        <w:t>’</w:t>
      </w:r>
      <w:r>
        <w:rPr>
          <w:rFonts w:hint="eastAsia" w:ascii="Times New Roman" w:hAnsi="Times New Roman"/>
          <w:sz w:val="20"/>
          <w:szCs w:val="20"/>
        </w:rPr>
        <w:t xml:space="preserve">s capability. </w:t>
      </w:r>
    </w:p>
    <w:p>
      <w:pPr>
        <w:adjustRightInd w:val="0"/>
        <w:snapToGrid w:val="0"/>
        <w:spacing w:after="180" w:afterLines="50" w:line="240" w:lineRule="auto"/>
        <w:jc w:val="both"/>
        <w:rPr>
          <w:rFonts w:ascii="Times New Roman" w:hAnsi="Times New Roman"/>
          <w:sz w:val="20"/>
          <w:szCs w:val="20"/>
        </w:rPr>
      </w:pPr>
      <w:r>
        <w:rPr>
          <w:rFonts w:hint="eastAsia" w:ascii="Times New Roman" w:hAnsi="Times New Roman"/>
          <w:b/>
          <w:bCs/>
          <w:sz w:val="20"/>
          <w:szCs w:val="20"/>
          <w:u w:val="single"/>
        </w:rPr>
        <w:t>Cell limitation:</w:t>
      </w:r>
      <w:r>
        <w:rPr>
          <w:rFonts w:hint="eastAsia" w:ascii="Times New Roman" w:hAnsi="Times New Roman"/>
          <w:b/>
          <w:bCs/>
          <w:sz w:val="20"/>
          <w:szCs w:val="20"/>
        </w:rPr>
        <w:t xml:space="preserve"> </w:t>
      </w:r>
      <w:r>
        <w:rPr>
          <w:rFonts w:hint="eastAsia" w:ascii="Times New Roman" w:hAnsi="Times New Roman"/>
          <w:sz w:val="20"/>
          <w:szCs w:val="20"/>
        </w:rPr>
        <w:t>For a UE, the selected N signals can come from the same cell (one cell may include more than one pathloss RS for a UE) or from the different cells (at most one signal can be selected as pathloss RS within a cell). UE can follow specific cell limitation criterion(s) when selecting pathloss RS.</w:t>
      </w:r>
    </w:p>
    <w:p>
      <w:pPr>
        <w:adjustRightInd w:val="0"/>
        <w:snapToGrid w:val="0"/>
        <w:spacing w:after="180" w:afterLines="50" w:line="240" w:lineRule="auto"/>
        <w:jc w:val="both"/>
        <w:rPr>
          <w:rFonts w:hint="eastAsia" w:ascii="Times New Roman" w:hAnsi="Times New Roman"/>
          <w:sz w:val="20"/>
          <w:szCs w:val="20"/>
        </w:rPr>
      </w:pPr>
      <w:r>
        <w:rPr>
          <w:rFonts w:hint="eastAsia" w:ascii="Times New Roman" w:hAnsi="Times New Roman"/>
          <w:b/>
          <w:bCs/>
          <w:sz w:val="20"/>
          <w:szCs w:val="20"/>
          <w:u w:val="single"/>
        </w:rPr>
        <w:t>Pathloss RS type limitation:</w:t>
      </w:r>
      <w:r>
        <w:rPr>
          <w:rFonts w:hint="eastAsia" w:ascii="Times New Roman" w:hAnsi="Times New Roman"/>
          <w:sz w:val="20"/>
          <w:szCs w:val="20"/>
        </w:rPr>
        <w:t xml:space="preserve"> In current </w:t>
      </w:r>
      <w:r>
        <w:rPr>
          <w:rFonts w:hint="eastAsia" w:ascii="Times New Roman" w:hAnsi="Times New Roman"/>
          <w:i/>
          <w:iCs/>
          <w:sz w:val="20"/>
          <w:szCs w:val="20"/>
          <w:lang w:eastAsia="ja-JP"/>
        </w:rPr>
        <w:t>pathlossReferenceRS-Pos</w:t>
      </w:r>
      <w:r>
        <w:rPr>
          <w:rFonts w:hint="eastAsia" w:ascii="Times New Roman" w:hAnsi="Times New Roman"/>
          <w:i/>
          <w:iCs/>
          <w:sz w:val="20"/>
          <w:szCs w:val="20"/>
        </w:rPr>
        <w:t xml:space="preserve"> </w:t>
      </w:r>
      <w:r>
        <w:rPr>
          <w:rFonts w:hint="eastAsia" w:ascii="Times New Roman" w:hAnsi="Times New Roman"/>
          <w:sz w:val="20"/>
          <w:szCs w:val="20"/>
        </w:rPr>
        <w:t xml:space="preserve">configuration, gNB can configure SSB or DL PRS for different UEs as their pathloss RS. If pathloss RS is absent in the configuration, UE can select SSB and/or PRS as its pathloss RS. </w:t>
      </w:r>
    </w:p>
    <w:p>
      <w:pPr>
        <w:adjustRightInd w:val="0"/>
        <w:snapToGrid w:val="0"/>
        <w:spacing w:after="180" w:afterLines="50" w:line="240" w:lineRule="auto"/>
        <w:jc w:val="center"/>
      </w:pPr>
      <w:r>
        <w:drawing>
          <wp:inline distT="0" distB="0" distL="114300" distR="114300">
            <wp:extent cx="3832225" cy="2232025"/>
            <wp:effectExtent l="0" t="0" r="15875" b="1587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3"/>
                    <a:stretch>
                      <a:fillRect/>
                    </a:stretch>
                  </pic:blipFill>
                  <pic:spPr>
                    <a:xfrm>
                      <a:off x="0" y="0"/>
                      <a:ext cx="3832225" cy="2232025"/>
                    </a:xfrm>
                    <a:prstGeom prst="rect">
                      <a:avLst/>
                    </a:prstGeom>
                    <a:noFill/>
                    <a:ln>
                      <a:noFill/>
                    </a:ln>
                  </pic:spPr>
                </pic:pic>
              </a:graphicData>
            </a:graphic>
          </wp:inline>
        </w:drawing>
      </w:r>
    </w:p>
    <w:p>
      <w:pPr>
        <w:pStyle w:val="15"/>
        <w:adjustRightInd w:val="0"/>
        <w:snapToGrid w:val="0"/>
        <w:spacing w:before="180" w:beforeLines="50" w:after="180" w:afterLines="50"/>
        <w:jc w:val="center"/>
        <w:rPr>
          <w:rFonts w:hint="default"/>
          <w:b w:val="0"/>
          <w:bCs w:val="0"/>
          <w:lang w:val="en-US" w:eastAsia="zh-CN"/>
        </w:rPr>
      </w:pPr>
      <w:bookmarkStart w:id="21" w:name="_Ref18575"/>
      <w:bookmarkStart w:id="22" w:name="_Ref18562"/>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6</w:t>
      </w:r>
      <w:r>
        <w:rPr>
          <w:b w:val="0"/>
          <w:bCs w:val="0"/>
        </w:rPr>
        <w:fldChar w:fldCharType="end"/>
      </w:r>
      <w:bookmarkEnd w:id="21"/>
      <w:r>
        <w:rPr>
          <w:b w:val="0"/>
          <w:bCs w:val="0"/>
          <w:lang w:val="en-US" w:eastAsia="zh-CN"/>
        </w:rPr>
        <w:t xml:space="preserve"> Example for SRS transmission</w:t>
      </w:r>
      <w:r>
        <w:rPr>
          <w:rFonts w:hint="eastAsia"/>
          <w:b w:val="0"/>
          <w:bCs w:val="0"/>
          <w:lang w:val="en-US" w:eastAsia="zh-CN"/>
        </w:rPr>
        <w:t xml:space="preserve"> considering</w:t>
      </w:r>
      <w:r>
        <w:rPr>
          <w:b w:val="0"/>
          <w:bCs w:val="0"/>
          <w:lang w:val="en-US" w:eastAsia="zh-CN"/>
        </w:rPr>
        <w:t xml:space="preserve"> </w:t>
      </w:r>
      <w:r>
        <w:rPr>
          <w:rFonts w:hint="eastAsia"/>
          <w:b w:val="0"/>
          <w:bCs w:val="0"/>
          <w:lang w:val="en-US" w:eastAsia="zh-CN"/>
        </w:rPr>
        <w:t>pathloss RS selection</w:t>
      </w:r>
      <w:bookmarkEnd w:id="22"/>
    </w:p>
    <w:p>
      <w:pPr>
        <w:adjustRightInd w:val="0"/>
        <w:snapToGrid w:val="0"/>
        <w:spacing w:after="180"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When UE moves to another cell</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coverage, it has to transmit SRS continuously during the positioning process. As shown in </w:t>
      </w:r>
      <w:r>
        <w:rPr>
          <w:rFonts w:hint="eastAsia" w:ascii="Times New Roman" w:hAnsi="Times New Roman"/>
          <w:sz w:val="20"/>
          <w:szCs w:val="20"/>
          <w:lang w:val="en-US" w:eastAsia="zh-CN"/>
        </w:rPr>
        <w:fldChar w:fldCharType="begin"/>
      </w:r>
      <w:r>
        <w:rPr>
          <w:rFonts w:hint="eastAsia" w:ascii="Times New Roman" w:hAnsi="Times New Roman"/>
          <w:sz w:val="20"/>
          <w:szCs w:val="20"/>
          <w:lang w:val="en-US" w:eastAsia="zh-CN"/>
        </w:rPr>
        <w:instrText xml:space="preserve"> REF _Ref18575 \h </w:instrText>
      </w:r>
      <w:r>
        <w:rPr>
          <w:rFonts w:hint="eastAsia" w:ascii="Times New Roman" w:hAnsi="Times New Roman"/>
          <w:sz w:val="20"/>
          <w:szCs w:val="20"/>
          <w:lang w:val="en-US" w:eastAsia="zh-CN"/>
        </w:rPr>
        <w:fldChar w:fldCharType="separate"/>
      </w:r>
      <w:r>
        <w:rPr>
          <w:rFonts w:hint="eastAsia" w:ascii="Times New Roman" w:hAnsi="Times New Roman"/>
          <w:sz w:val="20"/>
          <w:szCs w:val="20"/>
          <w:lang w:val="en-US" w:eastAsia="zh-CN"/>
        </w:rPr>
        <w:t>Figure 6</w:t>
      </w:r>
      <w:r>
        <w:rPr>
          <w:rFonts w:hint="eastAsia" w:ascii="Times New Roman" w:hAnsi="Times New Roman"/>
          <w:sz w:val="20"/>
          <w:szCs w:val="20"/>
          <w:lang w:val="en-US" w:eastAsia="zh-CN"/>
        </w:rPr>
        <w:fldChar w:fldCharType="end"/>
      </w:r>
      <w:r>
        <w:rPr>
          <w:rFonts w:hint="eastAsia" w:ascii="Times New Roman" w:hAnsi="Times New Roman"/>
          <w:sz w:val="20"/>
          <w:szCs w:val="20"/>
          <w:lang w:val="en-US" w:eastAsia="zh-CN"/>
        </w:rPr>
        <w:t xml:space="preserve">, the transmitted SRS should be detected by several gNBs within the validity, even if the gNB is far away from the UE, e.g., gNB 3 and gNB 6 should receive the SRS transmitted by the target UE. If the signals with larger beam measurement quantity value are selected as pathloss RS, UE will transmit SRS for positioning with relatively smaller transmission power, and the gNB far away from the UE might not be able to detect the SRS transmitted by the target UE. Taking this into consideration, UE can select the signals with relatively smaller beam measurement quantity value as its pathloss RS to make sure the gNBs within the validity area can receive the SRS. </w:t>
      </w:r>
    </w:p>
    <w:p>
      <w:pPr>
        <w:adjustRightInd w:val="0"/>
        <w:snapToGrid w:val="0"/>
        <w:spacing w:after="180"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But on the other hand, a signal with too small beam measurement quantity value may be infeasible for UE to select as the corresponding pathloss RS to transmit SRS for positioning, the detailed reasons are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84"/>
              <w:keepNext w:val="0"/>
              <w:keepLines w:val="0"/>
              <w:pageBreakBefore w:val="0"/>
              <w:widowControl/>
              <w:kinsoku/>
              <w:wordWrap/>
              <w:overflowPunct/>
              <w:topLinePunct w:val="0"/>
              <w:autoSpaceDE/>
              <w:autoSpaceDN/>
              <w:bidi w:val="0"/>
              <w:adjustRightInd w:val="0"/>
              <w:snapToGrid w:val="0"/>
              <w:spacing w:after="0" w:line="360" w:lineRule="auto"/>
              <w:ind w:left="0" w:firstLine="0"/>
              <w:textAlignment w:val="auto"/>
              <w:rPr>
                <w:rFonts w:hint="eastAsia" w:ascii="Times New Roman" w:hAnsi="Times New Roman" w:cs="Times New Roman"/>
                <w:b/>
                <w:bCs/>
                <w:i w:val="0"/>
                <w:iCs w:val="0"/>
                <w:sz w:val="20"/>
                <w:szCs w:val="20"/>
                <w:u w:val="single"/>
                <w:lang w:val="en-US" w:eastAsia="zh-CN" w:bidi="ar-SA"/>
              </w:rPr>
            </w:pPr>
            <w:r>
              <w:rPr>
                <w:rFonts w:hint="eastAsia" w:ascii="Times New Roman" w:hAnsi="Times New Roman" w:cs="Times New Roman"/>
                <w:b/>
                <w:bCs/>
                <w:i w:val="0"/>
                <w:iCs w:val="0"/>
                <w:sz w:val="20"/>
                <w:szCs w:val="20"/>
                <w:u w:val="single"/>
                <w:lang w:val="en-US" w:eastAsia="zh-CN" w:bidi="ar-SA"/>
              </w:rPr>
              <w:t>TS 38.213 7.3.1 UE behaviour:</w:t>
            </w:r>
          </w:p>
          <w:p>
            <w:pPr>
              <w:pStyle w:val="84"/>
              <w:keepNext w:val="0"/>
              <w:keepLines w:val="0"/>
              <w:pageBreakBefore w:val="0"/>
              <w:widowControl/>
              <w:kinsoku/>
              <w:wordWrap/>
              <w:overflowPunct/>
              <w:topLinePunct w:val="0"/>
              <w:autoSpaceDE/>
              <w:autoSpaceDN/>
              <w:bidi w:val="0"/>
              <w:adjustRightInd w:val="0"/>
              <w:snapToGrid w:val="0"/>
              <w:spacing w:after="0" w:line="240" w:lineRule="auto"/>
              <w:ind w:left="0" w:firstLine="0"/>
              <w:textAlignment w:val="auto"/>
              <w:rPr>
                <w:rFonts w:ascii="Times New Roman" w:hAnsi="Times New Roman"/>
                <w:sz w:val="20"/>
                <w:szCs w:val="20"/>
                <w:highlight w:val="yellow"/>
                <w:lang w:eastAsia="ko-KR"/>
              </w:rPr>
            </w:pPr>
            <w:r>
              <w:rPr>
                <w:rFonts w:hint="eastAsia" w:ascii="Times New Roman" w:hAnsi="Times New Roman" w:cs="Times New Roman" w:eastAsiaTheme="minorEastAsia"/>
                <w:sz w:val="20"/>
                <w:szCs w:val="20"/>
                <w:lang w:val="en-US" w:eastAsia="zh-CN" w:bidi="ar-SA"/>
              </w:rPr>
              <w:t xml:space="preserve">If the UE is in the RRC_CONNECTED state and determines that the UE is not able to accurately measure </w:t>
            </w:r>
            <m:oMath>
              <m:sSub>
                <m:sSubPr>
                  <m:ctrlPr>
                    <w:rPr>
                      <w:rFonts w:hint="eastAsia" w:ascii="Cambria Math" w:hAnsi="Cambria Math" w:cs="Times New Roman" w:eastAsiaTheme="minorEastAsia"/>
                      <w:sz w:val="20"/>
                      <w:szCs w:val="20"/>
                      <w:lang w:val="en-US" w:eastAsia="zh-CN" w:bidi="ar-SA"/>
                    </w:rPr>
                  </m:ctrlPr>
                </m:sSubPr>
                <m:e>
                  <m:r>
                    <m:rPr>
                      <m:sty m:val="p"/>
                    </m:rPr>
                    <w:rPr>
                      <w:rFonts w:hint="eastAsia" w:ascii="Cambria Math" w:hAnsi="Cambria Math" w:cs="Times New Roman" w:eastAsiaTheme="minorEastAsia"/>
                      <w:sz w:val="20"/>
                      <w:szCs w:val="20"/>
                      <w:lang w:val="en-US" w:eastAsia="zh-CN" w:bidi="ar-SA"/>
                    </w:rPr>
                    <m:t>PL</m:t>
                  </m:r>
                  <m:ctrlPr>
                    <w:rPr>
                      <w:rFonts w:hint="eastAsia" w:ascii="Cambria Math" w:hAnsi="Cambria Math" w:cs="Times New Roman" w:eastAsiaTheme="minorEastAsia"/>
                      <w:sz w:val="20"/>
                      <w:szCs w:val="20"/>
                      <w:lang w:val="en-US" w:eastAsia="zh-CN" w:bidi="ar-SA"/>
                    </w:rPr>
                  </m:ctrlPr>
                </m:e>
                <m:sub>
                  <m:r>
                    <m:rPr>
                      <m:sty m:val="p"/>
                    </m:rPr>
                    <w:rPr>
                      <w:rFonts w:hint="eastAsia" w:ascii="Cambria Math" w:hAnsi="Cambria Math" w:cs="Times New Roman" w:eastAsiaTheme="minorEastAsia"/>
                      <w:sz w:val="20"/>
                      <w:szCs w:val="20"/>
                      <w:lang w:val="en-US" w:eastAsia="zh-CN" w:bidi="ar-SA"/>
                    </w:rPr>
                    <m:t>b,f,c</m:t>
                  </m:r>
                  <m:ctrlPr>
                    <w:rPr>
                      <w:rFonts w:hint="eastAsia" w:ascii="Cambria Math" w:hAnsi="Cambria Math" w:cs="Times New Roman" w:eastAsiaTheme="minorEastAsia"/>
                      <w:sz w:val="20"/>
                      <w:szCs w:val="20"/>
                      <w:lang w:val="en-US" w:eastAsia="zh-CN" w:bidi="ar-SA"/>
                    </w:rPr>
                  </m:ctrlPr>
                </m:sub>
              </m:sSub>
              <m:d>
                <m:dPr>
                  <m:ctrlPr>
                    <w:rPr>
                      <w:rFonts w:hint="eastAsia" w:ascii="Cambria Math" w:hAnsi="Cambria Math" w:cs="Times New Roman" w:eastAsiaTheme="minorEastAsia"/>
                      <w:sz w:val="20"/>
                      <w:szCs w:val="20"/>
                      <w:lang w:val="en-US" w:eastAsia="ja-JP" w:bidi="ar-SA"/>
                    </w:rPr>
                  </m:ctrlPr>
                </m:dPr>
                <m:e>
                  <m:sSub>
                    <m:sSubPr>
                      <m:ctrlPr>
                        <w:rPr>
                          <w:rFonts w:hint="eastAsia" w:ascii="Cambria Math" w:hAnsi="Cambria Math" w:cs="Times New Roman" w:eastAsiaTheme="minorEastAsia"/>
                          <w:sz w:val="20"/>
                          <w:szCs w:val="20"/>
                          <w:lang w:val="en-US" w:eastAsia="ja-JP" w:bidi="ar-SA"/>
                        </w:rPr>
                      </m:ctrlPr>
                    </m:sSubPr>
                    <m:e>
                      <m:r>
                        <m:rPr>
                          <m:sty m:val="p"/>
                        </m:rPr>
                        <w:rPr>
                          <w:rFonts w:hint="eastAsia" w:ascii="Cambria Math" w:hAnsi="Cambria Math" w:cs="Times New Roman" w:eastAsiaTheme="minorEastAsia"/>
                          <w:sz w:val="20"/>
                          <w:szCs w:val="20"/>
                          <w:lang w:val="en-US" w:eastAsia="ja-JP" w:bidi="ar-SA"/>
                        </w:rPr>
                        <m:t>q</m:t>
                      </m:r>
                      <m:ctrlPr>
                        <w:rPr>
                          <w:rFonts w:hint="eastAsia" w:ascii="Cambria Math" w:hAnsi="Cambria Math" w:cs="Times New Roman" w:eastAsiaTheme="minorEastAsia"/>
                          <w:sz w:val="20"/>
                          <w:szCs w:val="20"/>
                          <w:lang w:val="en-US" w:eastAsia="ja-JP" w:bidi="ar-SA"/>
                        </w:rPr>
                      </m:ctrlPr>
                    </m:e>
                    <m:sub>
                      <m:r>
                        <m:rPr>
                          <m:sty m:val="p"/>
                        </m:rPr>
                        <w:rPr>
                          <w:rFonts w:hint="eastAsia" w:ascii="Cambria Math" w:hAnsi="Cambria Math" w:cs="Times New Roman" w:eastAsiaTheme="minorEastAsia"/>
                          <w:sz w:val="20"/>
                          <w:szCs w:val="20"/>
                          <w:lang w:val="en-US" w:eastAsia="ja-JP" w:bidi="ar-SA"/>
                        </w:rPr>
                        <m:t>d</m:t>
                      </m:r>
                      <m:ctrlPr>
                        <w:rPr>
                          <w:rFonts w:hint="eastAsia" w:ascii="Cambria Math" w:hAnsi="Cambria Math" w:cs="Times New Roman" w:eastAsiaTheme="minorEastAsia"/>
                          <w:sz w:val="20"/>
                          <w:szCs w:val="20"/>
                          <w:lang w:val="en-US" w:eastAsia="ja-JP" w:bidi="ar-SA"/>
                        </w:rPr>
                      </m:ctrlPr>
                    </m:sub>
                  </m:sSub>
                  <m:ctrlPr>
                    <w:rPr>
                      <w:rFonts w:hint="eastAsia" w:ascii="Cambria Math" w:hAnsi="Cambria Math" w:cs="Times New Roman" w:eastAsiaTheme="minorEastAsia"/>
                      <w:sz w:val="20"/>
                      <w:szCs w:val="20"/>
                      <w:lang w:val="en-US" w:eastAsia="ja-JP" w:bidi="ar-SA"/>
                    </w:rPr>
                  </m:ctrlPr>
                </m:e>
              </m:d>
            </m:oMath>
            <w:r>
              <w:rPr>
                <w:rFonts w:hint="eastAsia" w:ascii="Times New Roman" w:hAnsi="Times New Roman" w:cs="Times New Roman" w:eastAsiaTheme="minorEastAsia"/>
                <w:sz w:val="20"/>
                <w:szCs w:val="20"/>
                <w:lang w:val="en-US" w:eastAsia="ja-JP" w:bidi="ar-SA"/>
              </w:rPr>
              <w:t xml:space="preserve">, or the UE is not provided with </w:t>
            </w:r>
            <w:r>
              <w:rPr>
                <w:rFonts w:hint="eastAsia" w:ascii="Times New Roman" w:hAnsi="Times New Roman" w:cs="Times New Roman" w:eastAsiaTheme="minorEastAsia"/>
                <w:i/>
                <w:iCs/>
                <w:sz w:val="20"/>
                <w:szCs w:val="20"/>
                <w:lang w:val="en-US" w:eastAsia="ja-JP" w:bidi="ar-SA"/>
              </w:rPr>
              <w:t>pathlossReferenceRS-Pos</w:t>
            </w:r>
            <w:r>
              <w:rPr>
                <w:rFonts w:hint="eastAsia" w:ascii="Times New Roman" w:hAnsi="Times New Roman" w:cs="Times New Roman" w:eastAsiaTheme="minorEastAsia"/>
                <w:sz w:val="20"/>
                <w:szCs w:val="20"/>
                <w:lang w:val="en-US" w:eastAsia="zh-CN" w:bidi="ar-SA"/>
              </w:rPr>
              <w:t xml:space="preserve">, the UE calculates </w:t>
            </w:r>
            <m:oMath>
              <m:sSub>
                <m:sSubPr>
                  <m:ctrlPr>
                    <w:rPr>
                      <w:rFonts w:hint="eastAsia" w:ascii="Cambria Math" w:hAnsi="Cambria Math" w:cs="Times New Roman" w:eastAsiaTheme="minorEastAsia"/>
                      <w:sz w:val="20"/>
                      <w:szCs w:val="20"/>
                      <w:lang w:val="en-US" w:eastAsia="zh-CN" w:bidi="ar-SA"/>
                    </w:rPr>
                  </m:ctrlPr>
                </m:sSubPr>
                <m:e>
                  <m:r>
                    <m:rPr>
                      <m:sty m:val="p"/>
                    </m:rPr>
                    <w:rPr>
                      <w:rFonts w:hint="eastAsia" w:ascii="Cambria Math" w:hAnsi="Cambria Math" w:cs="Times New Roman" w:eastAsiaTheme="minorEastAsia"/>
                      <w:sz w:val="20"/>
                      <w:szCs w:val="20"/>
                      <w:lang w:val="en-US" w:eastAsia="zh-CN" w:bidi="ar-SA"/>
                    </w:rPr>
                    <m:t>PL</m:t>
                  </m:r>
                  <m:ctrlPr>
                    <w:rPr>
                      <w:rFonts w:hint="eastAsia" w:ascii="Cambria Math" w:hAnsi="Cambria Math" w:cs="Times New Roman" w:eastAsiaTheme="minorEastAsia"/>
                      <w:sz w:val="20"/>
                      <w:szCs w:val="20"/>
                      <w:lang w:val="en-US" w:eastAsia="zh-CN" w:bidi="ar-SA"/>
                    </w:rPr>
                  </m:ctrlPr>
                </m:e>
                <m:sub>
                  <m:r>
                    <m:rPr>
                      <m:sty m:val="p"/>
                    </m:rPr>
                    <w:rPr>
                      <w:rFonts w:hint="eastAsia" w:ascii="Cambria Math" w:hAnsi="Cambria Math" w:cs="Times New Roman" w:eastAsiaTheme="minorEastAsia"/>
                      <w:sz w:val="20"/>
                      <w:szCs w:val="20"/>
                      <w:lang w:val="en-US" w:eastAsia="zh-CN" w:bidi="ar-SA"/>
                    </w:rPr>
                    <m:t>b,f,c</m:t>
                  </m:r>
                  <m:ctrlPr>
                    <w:rPr>
                      <w:rFonts w:hint="eastAsia" w:ascii="Cambria Math" w:hAnsi="Cambria Math" w:cs="Times New Roman" w:eastAsiaTheme="minorEastAsia"/>
                      <w:sz w:val="20"/>
                      <w:szCs w:val="20"/>
                      <w:lang w:val="en-US" w:eastAsia="zh-CN" w:bidi="ar-SA"/>
                    </w:rPr>
                  </m:ctrlPr>
                </m:sub>
              </m:sSub>
              <m:d>
                <m:dPr>
                  <m:ctrlPr>
                    <w:rPr>
                      <w:rFonts w:hint="eastAsia" w:ascii="Cambria Math" w:hAnsi="Cambria Math" w:cs="Times New Roman" w:eastAsiaTheme="minorEastAsia"/>
                      <w:sz w:val="20"/>
                      <w:szCs w:val="20"/>
                      <w:lang w:val="en-US" w:eastAsia="ja-JP" w:bidi="ar-SA"/>
                    </w:rPr>
                  </m:ctrlPr>
                </m:dPr>
                <m:e>
                  <m:sSub>
                    <m:sSubPr>
                      <m:ctrlPr>
                        <w:rPr>
                          <w:rFonts w:hint="eastAsia" w:ascii="Cambria Math" w:hAnsi="Cambria Math" w:cs="Times New Roman" w:eastAsiaTheme="minorEastAsia"/>
                          <w:sz w:val="20"/>
                          <w:szCs w:val="20"/>
                          <w:lang w:val="en-US" w:eastAsia="ja-JP" w:bidi="ar-SA"/>
                        </w:rPr>
                      </m:ctrlPr>
                    </m:sSubPr>
                    <m:e>
                      <m:r>
                        <m:rPr>
                          <m:sty m:val="p"/>
                        </m:rPr>
                        <w:rPr>
                          <w:rFonts w:hint="eastAsia" w:ascii="Cambria Math" w:hAnsi="Cambria Math" w:cs="Times New Roman" w:eastAsiaTheme="minorEastAsia"/>
                          <w:sz w:val="20"/>
                          <w:szCs w:val="20"/>
                          <w:lang w:val="en-US" w:eastAsia="ja-JP" w:bidi="ar-SA"/>
                        </w:rPr>
                        <m:t>q</m:t>
                      </m:r>
                      <m:ctrlPr>
                        <w:rPr>
                          <w:rFonts w:hint="eastAsia" w:ascii="Cambria Math" w:hAnsi="Cambria Math" w:cs="Times New Roman" w:eastAsiaTheme="minorEastAsia"/>
                          <w:sz w:val="20"/>
                          <w:szCs w:val="20"/>
                          <w:lang w:val="en-US" w:eastAsia="ja-JP" w:bidi="ar-SA"/>
                        </w:rPr>
                      </m:ctrlPr>
                    </m:e>
                    <m:sub>
                      <m:r>
                        <m:rPr>
                          <m:sty m:val="p"/>
                        </m:rPr>
                        <w:rPr>
                          <w:rFonts w:hint="eastAsia" w:ascii="Cambria Math" w:hAnsi="Cambria Math" w:cs="Times New Roman" w:eastAsiaTheme="minorEastAsia"/>
                          <w:sz w:val="20"/>
                          <w:szCs w:val="20"/>
                          <w:lang w:val="en-US" w:eastAsia="ja-JP" w:bidi="ar-SA"/>
                        </w:rPr>
                        <m:t>d</m:t>
                      </m:r>
                      <m:ctrlPr>
                        <w:rPr>
                          <w:rFonts w:hint="eastAsia" w:ascii="Cambria Math" w:hAnsi="Cambria Math" w:cs="Times New Roman" w:eastAsiaTheme="minorEastAsia"/>
                          <w:sz w:val="20"/>
                          <w:szCs w:val="20"/>
                          <w:lang w:val="en-US" w:eastAsia="ja-JP" w:bidi="ar-SA"/>
                        </w:rPr>
                      </m:ctrlPr>
                    </m:sub>
                  </m:sSub>
                  <m:ctrlPr>
                    <w:rPr>
                      <w:rFonts w:hint="eastAsia" w:ascii="Cambria Math" w:hAnsi="Cambria Math" w:cs="Times New Roman" w:eastAsiaTheme="minorEastAsia"/>
                      <w:sz w:val="20"/>
                      <w:szCs w:val="20"/>
                      <w:lang w:val="en-US" w:eastAsia="ja-JP" w:bidi="ar-SA"/>
                    </w:rPr>
                  </m:ctrlPr>
                </m:e>
              </m:d>
            </m:oMath>
            <w:r>
              <w:rPr>
                <w:rFonts w:hint="eastAsia" w:ascii="Times New Roman" w:hAnsi="Times New Roman" w:cs="Times New Roman" w:eastAsiaTheme="minorEastAsia"/>
                <w:sz w:val="20"/>
                <w:szCs w:val="20"/>
                <w:lang w:val="en-US" w:eastAsia="zh-CN" w:bidi="ar-SA"/>
              </w:rPr>
              <w:t xml:space="preserve"> using a RS resource obtained from the SS/PBCH block of the serving cell that the UE uses to obtain MIB. If the UE is in the RRC_INACTIVE state and determines that the UE is not able to accurately measure </w:t>
            </w:r>
            <m:oMath>
              <m:sSub>
                <m:sSubPr>
                  <m:ctrlPr>
                    <w:rPr>
                      <w:rFonts w:hint="eastAsia" w:ascii="Cambria Math" w:hAnsi="Cambria Math" w:cs="Times New Roman" w:eastAsiaTheme="minorEastAsia"/>
                      <w:sz w:val="20"/>
                      <w:szCs w:val="20"/>
                      <w:lang w:val="en-US" w:eastAsia="zh-CN" w:bidi="ar-SA"/>
                    </w:rPr>
                  </m:ctrlPr>
                </m:sSubPr>
                <m:e>
                  <m:r>
                    <m:rPr>
                      <m:sty m:val="p"/>
                    </m:rPr>
                    <w:rPr>
                      <w:rFonts w:hint="eastAsia" w:ascii="Cambria Math" w:hAnsi="Cambria Math" w:cs="Times New Roman" w:eastAsiaTheme="minorEastAsia"/>
                      <w:sz w:val="20"/>
                      <w:szCs w:val="20"/>
                      <w:lang w:val="en-US" w:eastAsia="zh-CN" w:bidi="ar-SA"/>
                    </w:rPr>
                    <m:t>PL</m:t>
                  </m:r>
                  <m:ctrlPr>
                    <w:rPr>
                      <w:rFonts w:hint="eastAsia" w:ascii="Cambria Math" w:hAnsi="Cambria Math" w:cs="Times New Roman" w:eastAsiaTheme="minorEastAsia"/>
                      <w:sz w:val="20"/>
                      <w:szCs w:val="20"/>
                      <w:lang w:val="en-US" w:eastAsia="zh-CN" w:bidi="ar-SA"/>
                    </w:rPr>
                  </m:ctrlPr>
                </m:e>
                <m:sub>
                  <m:r>
                    <m:rPr>
                      <m:sty m:val="p"/>
                    </m:rPr>
                    <w:rPr>
                      <w:rFonts w:hint="eastAsia" w:ascii="Cambria Math" w:hAnsi="Cambria Math" w:cs="Times New Roman" w:eastAsiaTheme="minorEastAsia"/>
                      <w:sz w:val="20"/>
                      <w:szCs w:val="20"/>
                      <w:lang w:val="en-US" w:eastAsia="zh-CN" w:bidi="ar-SA"/>
                    </w:rPr>
                    <m:t>b,f,c</m:t>
                  </m:r>
                  <m:ctrlPr>
                    <w:rPr>
                      <w:rFonts w:hint="eastAsia" w:ascii="Cambria Math" w:hAnsi="Cambria Math" w:cs="Times New Roman" w:eastAsiaTheme="minorEastAsia"/>
                      <w:sz w:val="20"/>
                      <w:szCs w:val="20"/>
                      <w:lang w:val="en-US" w:eastAsia="zh-CN" w:bidi="ar-SA"/>
                    </w:rPr>
                  </m:ctrlPr>
                </m:sub>
              </m:sSub>
              <m:d>
                <m:dPr>
                  <m:ctrlPr>
                    <w:rPr>
                      <w:rFonts w:hint="eastAsia" w:ascii="Cambria Math" w:hAnsi="Cambria Math" w:cs="Times New Roman" w:eastAsiaTheme="minorEastAsia"/>
                      <w:sz w:val="20"/>
                      <w:szCs w:val="20"/>
                      <w:lang w:val="en-US" w:eastAsia="ja-JP" w:bidi="ar-SA"/>
                    </w:rPr>
                  </m:ctrlPr>
                </m:dPr>
                <m:e>
                  <m:sSub>
                    <m:sSubPr>
                      <m:ctrlPr>
                        <w:rPr>
                          <w:rFonts w:hint="eastAsia" w:ascii="Cambria Math" w:hAnsi="Cambria Math" w:cs="Times New Roman" w:eastAsiaTheme="minorEastAsia"/>
                          <w:sz w:val="20"/>
                          <w:szCs w:val="20"/>
                          <w:lang w:val="en-US" w:eastAsia="ja-JP" w:bidi="ar-SA"/>
                        </w:rPr>
                      </m:ctrlPr>
                    </m:sSubPr>
                    <m:e>
                      <m:r>
                        <m:rPr>
                          <m:sty m:val="p"/>
                        </m:rPr>
                        <w:rPr>
                          <w:rFonts w:hint="eastAsia" w:ascii="Cambria Math" w:hAnsi="Cambria Math" w:cs="Times New Roman" w:eastAsiaTheme="minorEastAsia"/>
                          <w:sz w:val="20"/>
                          <w:szCs w:val="20"/>
                          <w:lang w:val="en-US" w:eastAsia="ja-JP" w:bidi="ar-SA"/>
                        </w:rPr>
                        <m:t>q</m:t>
                      </m:r>
                      <m:ctrlPr>
                        <w:rPr>
                          <w:rFonts w:hint="eastAsia" w:ascii="Cambria Math" w:hAnsi="Cambria Math" w:cs="Times New Roman" w:eastAsiaTheme="minorEastAsia"/>
                          <w:sz w:val="20"/>
                          <w:szCs w:val="20"/>
                          <w:lang w:val="en-US" w:eastAsia="ja-JP" w:bidi="ar-SA"/>
                        </w:rPr>
                      </m:ctrlPr>
                    </m:e>
                    <m:sub>
                      <m:r>
                        <m:rPr>
                          <m:sty m:val="p"/>
                        </m:rPr>
                        <w:rPr>
                          <w:rFonts w:hint="eastAsia" w:ascii="Cambria Math" w:hAnsi="Cambria Math" w:cs="Times New Roman" w:eastAsiaTheme="minorEastAsia"/>
                          <w:sz w:val="20"/>
                          <w:szCs w:val="20"/>
                          <w:lang w:val="en-US" w:eastAsia="ja-JP" w:bidi="ar-SA"/>
                        </w:rPr>
                        <m:t>d</m:t>
                      </m:r>
                      <m:ctrlPr>
                        <w:rPr>
                          <w:rFonts w:hint="eastAsia" w:ascii="Cambria Math" w:hAnsi="Cambria Math" w:cs="Times New Roman" w:eastAsiaTheme="minorEastAsia"/>
                          <w:sz w:val="20"/>
                          <w:szCs w:val="20"/>
                          <w:lang w:val="en-US" w:eastAsia="ja-JP" w:bidi="ar-SA"/>
                        </w:rPr>
                      </m:ctrlPr>
                    </m:sub>
                  </m:sSub>
                  <m:ctrlPr>
                    <w:rPr>
                      <w:rFonts w:hint="eastAsia" w:ascii="Cambria Math" w:hAnsi="Cambria Math" w:cs="Times New Roman" w:eastAsiaTheme="minorEastAsia"/>
                      <w:sz w:val="20"/>
                      <w:szCs w:val="20"/>
                      <w:lang w:val="en-US" w:eastAsia="ja-JP" w:bidi="ar-SA"/>
                    </w:rPr>
                  </m:ctrlPr>
                </m:e>
              </m:d>
            </m:oMath>
            <w:r>
              <w:rPr>
                <w:rFonts w:hint="eastAsia" w:ascii="Times New Roman" w:hAnsi="Times New Roman" w:cs="Times New Roman" w:eastAsiaTheme="minorEastAsia"/>
                <w:sz w:val="20"/>
                <w:szCs w:val="20"/>
                <w:lang w:val="en-US" w:eastAsia="ja-JP" w:bidi="ar-SA"/>
              </w:rPr>
              <w:t>, the UE does not transmit SRS for the SRS resource set.</w:t>
            </w:r>
          </w:p>
        </w:tc>
      </w:tr>
    </w:tbl>
    <w:p>
      <w:pPr>
        <w:adjustRightInd w:val="0"/>
        <w:snapToGrid w:val="0"/>
        <w:spacing w:after="180" w:afterLines="50" w:line="240" w:lineRule="auto"/>
        <w:jc w:val="both"/>
        <w:rPr>
          <w:rFonts w:hint="default" w:ascii="Times New Roman" w:hAnsi="Times New Roman" w:cs="Times New Roman" w:eastAsiaTheme="minorEastAsia"/>
          <w:snapToGrid/>
          <w:kern w:val="0"/>
          <w:sz w:val="20"/>
          <w:szCs w:val="20"/>
          <w:lang w:val="en-US" w:eastAsia="zh-CN" w:bidi="ar-SA"/>
        </w:rPr>
      </w:pPr>
      <w:r>
        <w:rPr>
          <w:rFonts w:hint="eastAsia" w:ascii="Times New Roman" w:hAnsi="Times New Roman"/>
          <w:sz w:val="20"/>
          <w:szCs w:val="20"/>
          <w:lang w:val="en-US" w:eastAsia="zh-CN"/>
        </w:rPr>
        <w:t xml:space="preserve">It is mentioned that UE will not transmit SRS if it is not able to accurately measure </w:t>
      </w:r>
      <m:oMath>
        <m:sSub>
          <m:sSubPr>
            <m:ctrlPr>
              <w:rPr>
                <w:rFonts w:hint="eastAsia" w:ascii="Cambria Math" w:hAnsi="Cambria Math"/>
                <w:sz w:val="20"/>
                <w:szCs w:val="20"/>
                <w:lang w:val="en-US" w:eastAsia="zh-CN"/>
              </w:rPr>
            </m:ctrlPr>
          </m:sSubPr>
          <m:e>
            <m:r>
              <m:rPr>
                <m:sty m:val="p"/>
              </m:rPr>
              <w:rPr>
                <w:rFonts w:hint="eastAsia" w:ascii="Cambria Math" w:hAnsi="Cambria Math"/>
                <w:sz w:val="20"/>
                <w:szCs w:val="20"/>
                <w:lang w:val="en-US" w:eastAsia="zh-CN"/>
              </w:rPr>
              <m:t>PL</m:t>
            </m:r>
            <m:ctrlPr>
              <w:rPr>
                <w:rFonts w:hint="eastAsia" w:ascii="Cambria Math" w:hAnsi="Cambria Math"/>
                <w:sz w:val="20"/>
                <w:szCs w:val="20"/>
                <w:lang w:val="en-US" w:eastAsia="zh-CN"/>
              </w:rPr>
            </m:ctrlPr>
          </m:e>
          <m:sub>
            <m:r>
              <m:rPr>
                <m:sty m:val="p"/>
              </m:rPr>
              <w:rPr>
                <w:rFonts w:hint="eastAsia" w:ascii="Cambria Math" w:hAnsi="Cambria Math"/>
                <w:sz w:val="20"/>
                <w:szCs w:val="20"/>
                <w:lang w:val="en-US" w:eastAsia="zh-CN"/>
              </w:rPr>
              <m:t>b,f,c</m:t>
            </m:r>
            <m:ctrlPr>
              <w:rPr>
                <w:rFonts w:hint="eastAsia" w:ascii="Cambria Math" w:hAnsi="Cambria Math"/>
                <w:sz w:val="20"/>
                <w:szCs w:val="20"/>
                <w:lang w:val="en-US" w:eastAsia="zh-CN"/>
              </w:rPr>
            </m:ctrlPr>
          </m:sub>
        </m:sSub>
        <m:d>
          <m:dPr>
            <m:ctrlPr>
              <w:rPr>
                <w:rFonts w:hint="eastAsia" w:ascii="Cambria Math" w:hAnsi="Cambria Math"/>
                <w:sz w:val="20"/>
                <w:szCs w:val="20"/>
                <w:lang w:val="en-US" w:eastAsia="ja-JP"/>
              </w:rPr>
            </m:ctrlPr>
          </m:dPr>
          <m:e>
            <m:sSub>
              <m:sSubPr>
                <m:ctrlPr>
                  <w:rPr>
                    <w:rFonts w:hint="eastAsia" w:ascii="Cambria Math" w:hAnsi="Cambria Math"/>
                    <w:sz w:val="20"/>
                    <w:szCs w:val="20"/>
                    <w:lang w:val="en-US" w:eastAsia="ja-JP"/>
                  </w:rPr>
                </m:ctrlPr>
              </m:sSubPr>
              <m:e>
                <m:r>
                  <m:rPr>
                    <m:sty m:val="p"/>
                  </m:rPr>
                  <w:rPr>
                    <w:rFonts w:hint="eastAsia" w:ascii="Cambria Math" w:hAnsi="Cambria Math"/>
                    <w:sz w:val="20"/>
                    <w:szCs w:val="20"/>
                    <w:lang w:val="en-US" w:eastAsia="ja-JP"/>
                  </w:rPr>
                  <m:t>q</m:t>
                </m:r>
                <m:ctrlPr>
                  <w:rPr>
                    <w:rFonts w:hint="eastAsia" w:ascii="Cambria Math" w:hAnsi="Cambria Math"/>
                    <w:sz w:val="20"/>
                    <w:szCs w:val="20"/>
                    <w:lang w:val="en-US" w:eastAsia="ja-JP"/>
                  </w:rPr>
                </m:ctrlPr>
              </m:e>
              <m:sub>
                <m:r>
                  <m:rPr>
                    <m:sty m:val="p"/>
                  </m:rPr>
                  <w:rPr>
                    <w:rFonts w:hint="eastAsia" w:ascii="Cambria Math" w:hAnsi="Cambria Math"/>
                    <w:sz w:val="20"/>
                    <w:szCs w:val="20"/>
                    <w:lang w:val="en-US" w:eastAsia="ja-JP"/>
                  </w:rPr>
                  <m:t>d</m:t>
                </m:r>
                <m:ctrlPr>
                  <w:rPr>
                    <w:rFonts w:hint="eastAsia" w:ascii="Cambria Math" w:hAnsi="Cambria Math"/>
                    <w:sz w:val="20"/>
                    <w:szCs w:val="20"/>
                    <w:lang w:val="en-US" w:eastAsia="ja-JP"/>
                  </w:rPr>
                </m:ctrlPr>
              </m:sub>
            </m:sSub>
            <m:ctrlPr>
              <w:rPr>
                <w:rFonts w:hint="eastAsia" w:ascii="Cambria Math" w:hAnsi="Cambria Math"/>
                <w:sz w:val="20"/>
                <w:szCs w:val="20"/>
                <w:lang w:val="en-US" w:eastAsia="ja-JP"/>
              </w:rPr>
            </m:ctrlPr>
          </m:e>
        </m:d>
      </m:oMath>
      <w:r>
        <w:rPr>
          <w:rFonts w:hint="eastAsia" w:hAnsi="Cambria Math"/>
          <w:i w:val="0"/>
          <w:sz w:val="20"/>
          <w:szCs w:val="20"/>
          <w:lang w:val="en-US" w:eastAsia="zh-CN"/>
        </w:rPr>
        <w:t xml:space="preserve">. </w:t>
      </w:r>
      <w:r>
        <w:rPr>
          <w:rFonts w:hint="eastAsia" w:ascii="Times New Roman" w:hAnsi="Times New Roman" w:cs="Times New Roman" w:eastAsiaTheme="minorEastAsia"/>
          <w:snapToGrid/>
          <w:kern w:val="0"/>
          <w:sz w:val="20"/>
          <w:szCs w:val="20"/>
          <w:lang w:val="en-US" w:eastAsia="zh-CN" w:bidi="ar-SA"/>
        </w:rPr>
        <w:t>Therefore, gNB can configure a criterion on beam measurement quantity value for UE, and UE can select the signal</w:t>
      </w:r>
      <w:r>
        <w:rPr>
          <w:rFonts w:hint="eastAsia" w:ascii="Times New Roman" w:hAnsi="Times New Roman" w:cs="Times New Roman"/>
          <w:snapToGrid/>
          <w:kern w:val="0"/>
          <w:sz w:val="20"/>
          <w:szCs w:val="20"/>
          <w:lang w:val="en-US" w:eastAsia="zh-CN" w:bidi="ar-SA"/>
        </w:rPr>
        <w:t>s</w:t>
      </w:r>
      <w:r>
        <w:rPr>
          <w:rFonts w:hint="eastAsia" w:ascii="Times New Roman" w:hAnsi="Times New Roman" w:cs="Times New Roman" w:eastAsiaTheme="minorEastAsia"/>
          <w:snapToGrid/>
          <w:kern w:val="0"/>
          <w:sz w:val="20"/>
          <w:szCs w:val="20"/>
          <w:lang w:val="en-US" w:eastAsia="zh-CN" w:bidi="ar-SA"/>
        </w:rPr>
        <w:t xml:space="preserve"> with smaller RSRP va</w:t>
      </w:r>
      <w:r>
        <w:rPr>
          <w:rFonts w:hint="eastAsia" w:ascii="Times New Roman" w:hAnsi="Times New Roman" w:cs="Times New Roman"/>
          <w:snapToGrid/>
          <w:kern w:val="0"/>
          <w:sz w:val="20"/>
          <w:szCs w:val="20"/>
          <w:lang w:val="en-US" w:eastAsia="zh-CN" w:bidi="ar-SA"/>
        </w:rPr>
        <w:t xml:space="preserve">lue from the signals that meets the configured limitation. In this way, UE can accurately measure </w:t>
      </w:r>
      <m:oMath>
        <m:sSub>
          <m:sSubPr>
            <m:ctrlPr>
              <w:rPr>
                <w:rFonts w:hint="eastAsia" w:ascii="Cambria Math" w:hAnsi="Cambria Math" w:cs="Times New Roman"/>
                <w:snapToGrid/>
                <w:kern w:val="0"/>
                <w:sz w:val="20"/>
                <w:szCs w:val="20"/>
                <w:lang w:val="en-US" w:eastAsia="zh-CN" w:bidi="ar-SA"/>
              </w:rPr>
            </m:ctrlPr>
          </m:sSubPr>
          <m:e>
            <m:r>
              <m:rPr>
                <m:sty m:val="p"/>
              </m:rPr>
              <w:rPr>
                <w:rFonts w:hint="eastAsia" w:ascii="Cambria Math" w:hAnsi="Cambria Math" w:cs="Times New Roman"/>
                <w:snapToGrid/>
                <w:kern w:val="0"/>
                <w:sz w:val="20"/>
                <w:szCs w:val="20"/>
                <w:lang w:val="en-US" w:eastAsia="zh-CN" w:bidi="ar-SA"/>
              </w:rPr>
              <m:t>PL</m:t>
            </m:r>
            <m:ctrlPr>
              <w:rPr>
                <w:rFonts w:hint="eastAsia" w:ascii="Cambria Math" w:hAnsi="Cambria Math" w:cs="Times New Roman"/>
                <w:snapToGrid/>
                <w:kern w:val="0"/>
                <w:sz w:val="20"/>
                <w:szCs w:val="20"/>
                <w:lang w:val="en-US" w:eastAsia="zh-CN" w:bidi="ar-SA"/>
              </w:rPr>
            </m:ctrlPr>
          </m:e>
          <m:sub>
            <m:r>
              <m:rPr>
                <m:sty m:val="p"/>
              </m:rPr>
              <w:rPr>
                <w:rFonts w:hint="eastAsia" w:ascii="Cambria Math" w:hAnsi="Cambria Math" w:cs="Times New Roman"/>
                <w:snapToGrid/>
                <w:kern w:val="0"/>
                <w:sz w:val="20"/>
                <w:szCs w:val="20"/>
                <w:lang w:val="en-US" w:eastAsia="zh-CN" w:bidi="ar-SA"/>
              </w:rPr>
              <m:t>b,f,c</m:t>
            </m:r>
            <m:ctrlPr>
              <w:rPr>
                <w:rFonts w:hint="eastAsia" w:ascii="Cambria Math" w:hAnsi="Cambria Math" w:cs="Times New Roman"/>
                <w:snapToGrid/>
                <w:kern w:val="0"/>
                <w:sz w:val="20"/>
                <w:szCs w:val="20"/>
                <w:lang w:val="en-US" w:eastAsia="zh-CN" w:bidi="ar-SA"/>
              </w:rPr>
            </m:ctrlPr>
          </m:sub>
        </m:sSub>
        <m:d>
          <m:dPr>
            <m:ctrlPr>
              <w:rPr>
                <w:rFonts w:hint="eastAsia" w:ascii="Cambria Math" w:hAnsi="Cambria Math" w:cs="Times New Roman"/>
                <w:snapToGrid/>
                <w:kern w:val="0"/>
                <w:sz w:val="20"/>
                <w:szCs w:val="20"/>
                <w:lang w:val="en-US" w:eastAsia="ja-JP" w:bidi="ar-SA"/>
              </w:rPr>
            </m:ctrlPr>
          </m:dPr>
          <m:e>
            <m:sSub>
              <m:sSubPr>
                <m:ctrlPr>
                  <w:rPr>
                    <w:rFonts w:hint="eastAsia" w:ascii="Cambria Math" w:hAnsi="Cambria Math" w:cs="Times New Roman"/>
                    <w:snapToGrid/>
                    <w:kern w:val="0"/>
                    <w:sz w:val="20"/>
                    <w:szCs w:val="20"/>
                    <w:lang w:val="en-US" w:eastAsia="ja-JP" w:bidi="ar-SA"/>
                  </w:rPr>
                </m:ctrlPr>
              </m:sSubPr>
              <m:e>
                <m:r>
                  <m:rPr>
                    <m:sty m:val="p"/>
                  </m:rPr>
                  <w:rPr>
                    <w:rFonts w:hint="eastAsia" w:ascii="Cambria Math" w:hAnsi="Cambria Math" w:cs="Times New Roman"/>
                    <w:snapToGrid/>
                    <w:kern w:val="0"/>
                    <w:sz w:val="20"/>
                    <w:szCs w:val="20"/>
                    <w:lang w:val="en-US" w:eastAsia="ja-JP" w:bidi="ar-SA"/>
                  </w:rPr>
                  <m:t>q</m:t>
                </m:r>
                <m:ctrlPr>
                  <w:rPr>
                    <w:rFonts w:hint="eastAsia" w:ascii="Cambria Math" w:hAnsi="Cambria Math" w:cs="Times New Roman"/>
                    <w:snapToGrid/>
                    <w:kern w:val="0"/>
                    <w:sz w:val="20"/>
                    <w:szCs w:val="20"/>
                    <w:lang w:val="en-US" w:eastAsia="ja-JP" w:bidi="ar-SA"/>
                  </w:rPr>
                </m:ctrlPr>
              </m:e>
              <m:sub>
                <m:r>
                  <m:rPr>
                    <m:sty m:val="p"/>
                  </m:rPr>
                  <w:rPr>
                    <w:rFonts w:hint="eastAsia" w:ascii="Cambria Math" w:hAnsi="Cambria Math" w:cs="Times New Roman"/>
                    <w:snapToGrid/>
                    <w:kern w:val="0"/>
                    <w:sz w:val="20"/>
                    <w:szCs w:val="20"/>
                    <w:lang w:val="en-US" w:eastAsia="ja-JP" w:bidi="ar-SA"/>
                  </w:rPr>
                  <m:t>d</m:t>
                </m:r>
                <m:ctrlPr>
                  <w:rPr>
                    <w:rFonts w:hint="eastAsia" w:ascii="Cambria Math" w:hAnsi="Cambria Math" w:cs="Times New Roman"/>
                    <w:snapToGrid/>
                    <w:kern w:val="0"/>
                    <w:sz w:val="20"/>
                    <w:szCs w:val="20"/>
                    <w:lang w:val="en-US" w:eastAsia="ja-JP" w:bidi="ar-SA"/>
                  </w:rPr>
                </m:ctrlPr>
              </m:sub>
            </m:sSub>
            <m:ctrlPr>
              <w:rPr>
                <w:rFonts w:hint="eastAsia" w:ascii="Cambria Math" w:hAnsi="Cambria Math" w:cs="Times New Roman"/>
                <w:snapToGrid/>
                <w:kern w:val="0"/>
                <w:sz w:val="20"/>
                <w:szCs w:val="20"/>
                <w:lang w:val="en-US" w:eastAsia="ja-JP" w:bidi="ar-SA"/>
              </w:rPr>
            </m:ctrlPr>
          </m:e>
        </m:d>
      </m:oMath>
      <w:r>
        <w:rPr>
          <w:rFonts w:hint="eastAsia" w:ascii="Times New Roman" w:hAnsi="Times New Roman" w:cs="Times New Roman"/>
          <w:snapToGrid/>
          <w:kern w:val="0"/>
          <w:sz w:val="20"/>
          <w:szCs w:val="20"/>
          <w:lang w:val="en-US" w:eastAsia="zh-CN" w:bidi="ar-SA"/>
        </w:rPr>
        <w:t xml:space="preserve"> with the configured limitatio</w:t>
      </w:r>
      <w:r>
        <w:rPr>
          <w:rFonts w:hint="eastAsia" w:ascii="Times New Roman" w:hAnsi="Times New Roman" w:cs="Times New Roman" w:eastAsiaTheme="minorEastAsia"/>
          <w:snapToGrid/>
          <w:kern w:val="0"/>
          <w:sz w:val="20"/>
          <w:szCs w:val="20"/>
          <w:lang w:val="en-US" w:eastAsia="zh-CN" w:bidi="ar-SA"/>
        </w:rPr>
        <w:t>n</w:t>
      </w:r>
      <w:r>
        <w:rPr>
          <w:rFonts w:hint="eastAsia" w:ascii="Times New Roman" w:hAnsi="Times New Roman" w:cs="Times New Roman"/>
          <w:snapToGrid/>
          <w:kern w:val="0"/>
          <w:sz w:val="20"/>
          <w:szCs w:val="20"/>
          <w:lang w:val="en-US" w:eastAsia="zh-CN" w:bidi="ar-SA"/>
        </w:rPr>
        <w:t>, and gNBs within the validity area that relatively far away from the target UE can also receive the SRS for positioning if UE select the signals with smaller RSRP as its pathloss RS.</w:t>
      </w:r>
    </w:p>
    <w:p>
      <w:pPr>
        <w:adjustRightInd w:val="0"/>
        <w:snapToGrid w:val="0"/>
        <w:spacing w:after="180" w:afterLines="50" w:line="240" w:lineRule="auto"/>
        <w:jc w:val="both"/>
        <w:rPr>
          <w:rFonts w:ascii="Times New Roman" w:hAnsi="Times New Roman"/>
          <w:sz w:val="20"/>
          <w:szCs w:val="20"/>
        </w:rPr>
      </w:pPr>
      <w:r>
        <w:rPr>
          <w:rFonts w:hint="eastAsia" w:ascii="Times New Roman" w:hAnsi="Times New Roman"/>
          <w:sz w:val="20"/>
          <w:szCs w:val="20"/>
        </w:rPr>
        <w:t>After pathloss RS selection, UE can calculate the transmission power for positioning SRS in RRC_INACTIVE state, and transmits the SRS for positioning with the calculated power using the selected pathloss RS. In this way, gNBs that transmit the selected pathloss RS can receive the SRS for positioning with proper power, further improve the positioning performance. Hence, we have the following proposal:</w:t>
      </w:r>
    </w:p>
    <w:p>
      <w:pPr>
        <w:adjustRightInd w:val="0"/>
        <w:snapToGrid w:val="0"/>
        <w:spacing w:after="0" w:line="240" w:lineRule="auto"/>
        <w:jc w:val="both"/>
        <w:rPr>
          <w:rFonts w:hint="eastAsia" w:ascii="Times New Roman" w:hAnsi="Times New Roman"/>
          <w:b/>
          <w:bCs/>
          <w:i/>
          <w:iCs/>
          <w:sz w:val="20"/>
          <w:szCs w:val="20"/>
          <w:lang w:val="en-US" w:eastAsia="zh-CN"/>
        </w:rPr>
      </w:pPr>
      <w:bookmarkStart w:id="23" w:name="_Ref12663"/>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3</w:t>
      </w:r>
      <w:r>
        <w:rPr>
          <w:rFonts w:ascii="Times New Roman" w:hAnsi="Times New Roman"/>
          <w:b/>
          <w:bCs/>
          <w:i/>
          <w:iCs/>
          <w:sz w:val="20"/>
          <w:szCs w:val="20"/>
        </w:rPr>
        <w:fldChar w:fldCharType="end"/>
      </w:r>
      <w:r>
        <w:rPr>
          <w:rFonts w:ascii="Times New Roman" w:hAnsi="Times New Roman"/>
          <w:b/>
          <w:bCs/>
          <w:i/>
          <w:iCs/>
          <w:sz w:val="20"/>
          <w:szCs w:val="20"/>
        </w:rPr>
        <w:t>:</w:t>
      </w:r>
      <w:r>
        <w:rPr>
          <w:rFonts w:hint="eastAsia" w:ascii="Times New Roman" w:hAnsi="Times New Roman"/>
          <w:b/>
          <w:bCs/>
          <w:i/>
          <w:iCs/>
          <w:sz w:val="20"/>
          <w:szCs w:val="20"/>
        </w:rPr>
        <w:t xml:space="preserve"> For option 1, if pathloss RS is absent in the configuration,</w:t>
      </w:r>
      <w:r>
        <w:rPr>
          <w:rFonts w:hint="eastAsia" w:ascii="Times New Roman" w:hAnsi="Times New Roman"/>
          <w:b/>
          <w:bCs/>
          <w:i/>
          <w:iCs/>
          <w:sz w:val="20"/>
          <w:szCs w:val="20"/>
          <w:lang w:val="en-US" w:eastAsia="zh-CN"/>
        </w:rPr>
        <w:t xml:space="preserve"> the following pathloss RS selection method should be supported:</w:t>
      </w:r>
    </w:p>
    <w:p>
      <w:pPr>
        <w:numPr>
          <w:ilvl w:val="0"/>
          <w:numId w:val="10"/>
        </w:numPr>
        <w:adjustRightInd w:val="0"/>
        <w:snapToGrid w:val="0"/>
        <w:spacing w:after="0" w:line="240" w:lineRule="auto"/>
        <w:ind w:left="420" w:leftChars="0" w:hanging="420" w:firstLineChars="0"/>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Support gNB configuring a criterion on beam measurement quantity value for pathloss RS.</w:t>
      </w:r>
    </w:p>
    <w:p>
      <w:pPr>
        <w:numPr>
          <w:ilvl w:val="0"/>
          <w:numId w:val="10"/>
        </w:numPr>
        <w:adjustRightInd w:val="0"/>
        <w:snapToGrid w:val="0"/>
        <w:spacing w:after="0" w:line="240" w:lineRule="auto"/>
        <w:ind w:left="420" w:leftChars="0" w:hanging="420" w:firstLineChars="0"/>
        <w:jc w:val="both"/>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Support UE selecting pathloss RS with smaller RSRP value from the signals that meets the configured criterion.</w:t>
      </w:r>
    </w:p>
    <w:bookmarkEnd w:id="23"/>
    <w:p>
      <w:pPr>
        <w:pStyle w:val="5"/>
        <w:spacing w:before="180" w:beforeLines="50" w:after="180" w:afterLines="50"/>
        <w:ind w:firstLine="211"/>
        <w:rPr>
          <w:sz w:val="21"/>
          <w:szCs w:val="21"/>
          <w:lang w:val="en-US"/>
        </w:rPr>
      </w:pPr>
      <w:r>
        <w:rPr>
          <w:rFonts w:hint="eastAsia"/>
          <w:sz w:val="21"/>
          <w:szCs w:val="21"/>
          <w:lang w:val="en-US"/>
        </w:rPr>
        <w:t>Pathloss RS is provided in the configuration</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For option 2, if pathloss RS is provided </w:t>
      </w:r>
      <w:r>
        <w:rPr>
          <w:rFonts w:ascii="Times New Roman" w:hAnsi="Times New Roman"/>
          <w:sz w:val="20"/>
          <w:szCs w:val="20"/>
        </w:rPr>
        <w:t>in the configuration</w:t>
      </w:r>
      <w:r>
        <w:rPr>
          <w:rFonts w:hint="eastAsia" w:ascii="Times New Roman" w:hAnsi="Times New Roman"/>
          <w:sz w:val="20"/>
          <w:szCs w:val="20"/>
        </w:rPr>
        <w:t>, a pathloss RS list can be included in the configuration, and UE can adopt or choose several reference signals from the configured pathloss RS list as its pathloss RS. Also, gNB can configure a cell list for UE, and UE can choose pathloss RS from the signals transmitted by the cell(s) in the cell list. In this way, gNB is aware of the possible pathloss RS that UE is adopting/choosing and UE can select relatively suitable pathloss RS for positioning SRS transmission. From another perspective, it</w:t>
      </w:r>
      <w:r>
        <w:rPr>
          <w:rFonts w:ascii="Times New Roman" w:hAnsi="Times New Roman"/>
          <w:sz w:val="20"/>
          <w:szCs w:val="20"/>
        </w:rPr>
        <w:t>’</w:t>
      </w:r>
      <w:r>
        <w:rPr>
          <w:rFonts w:hint="eastAsia" w:ascii="Times New Roman" w:hAnsi="Times New Roman"/>
          <w:sz w:val="20"/>
          <w:szCs w:val="20"/>
        </w:rPr>
        <w:t>s also feasible for the last serving gNB to pre-configure the pathloss RS for UE. Hence, we have the following proposal:</w:t>
      </w:r>
    </w:p>
    <w:p>
      <w:pPr>
        <w:adjustRightInd w:val="0"/>
        <w:snapToGrid w:val="0"/>
        <w:spacing w:after="0" w:line="240" w:lineRule="auto"/>
        <w:jc w:val="both"/>
        <w:rPr>
          <w:rFonts w:ascii="Times New Roman" w:hAnsi="Times New Roman"/>
          <w:b/>
          <w:bCs/>
          <w:i/>
          <w:iCs/>
          <w:sz w:val="20"/>
          <w:szCs w:val="20"/>
        </w:rPr>
      </w:pPr>
      <w:bookmarkStart w:id="24" w:name="_Ref12669"/>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4</w:t>
      </w:r>
      <w:r>
        <w:rPr>
          <w:rFonts w:ascii="Times New Roman" w:hAnsi="Times New Roman"/>
          <w:b/>
          <w:bCs/>
          <w:i/>
          <w:iCs/>
          <w:sz w:val="20"/>
          <w:szCs w:val="20"/>
        </w:rPr>
        <w:fldChar w:fldCharType="end"/>
      </w:r>
      <w:r>
        <w:rPr>
          <w:rFonts w:ascii="Times New Roman" w:hAnsi="Times New Roman"/>
          <w:b/>
          <w:bCs/>
          <w:i/>
          <w:iCs/>
          <w:sz w:val="20"/>
          <w:szCs w:val="20"/>
        </w:rPr>
        <w:t xml:space="preserve">: For option </w:t>
      </w:r>
      <w:r>
        <w:rPr>
          <w:rFonts w:hint="eastAsia" w:ascii="Times New Roman" w:hAnsi="Times New Roman"/>
          <w:b/>
          <w:bCs/>
          <w:i/>
          <w:iCs/>
          <w:sz w:val="20"/>
          <w:szCs w:val="20"/>
        </w:rPr>
        <w:t>2</w:t>
      </w:r>
      <w:r>
        <w:rPr>
          <w:rFonts w:ascii="Times New Roman" w:hAnsi="Times New Roman"/>
          <w:b/>
          <w:bCs/>
          <w:i/>
          <w:iCs/>
          <w:sz w:val="20"/>
          <w:szCs w:val="20"/>
        </w:rPr>
        <w:t xml:space="preserve">, if pathloss RS is </w:t>
      </w:r>
      <w:r>
        <w:rPr>
          <w:rFonts w:hint="eastAsia" w:ascii="Times New Roman" w:hAnsi="Times New Roman"/>
          <w:b/>
          <w:bCs/>
          <w:i/>
          <w:iCs/>
          <w:sz w:val="20"/>
          <w:szCs w:val="20"/>
        </w:rPr>
        <w:t xml:space="preserve">provided </w:t>
      </w:r>
      <w:r>
        <w:rPr>
          <w:rFonts w:ascii="Times New Roman" w:hAnsi="Times New Roman"/>
          <w:b/>
          <w:bCs/>
          <w:i/>
          <w:iCs/>
          <w:sz w:val="20"/>
          <w:szCs w:val="20"/>
        </w:rPr>
        <w:t xml:space="preserve">in the configuration, the following configuration can be </w:t>
      </w:r>
      <w:r>
        <w:rPr>
          <w:rFonts w:hint="eastAsia" w:ascii="Times New Roman" w:hAnsi="Times New Roman"/>
          <w:b/>
          <w:bCs/>
          <w:i/>
          <w:iCs/>
          <w:sz w:val="20"/>
          <w:szCs w:val="20"/>
        </w:rPr>
        <w:t>considered</w:t>
      </w:r>
      <w:r>
        <w:rPr>
          <w:rFonts w:ascii="Times New Roman" w:hAnsi="Times New Roman"/>
          <w:b/>
          <w:bCs/>
          <w:i/>
          <w:iCs/>
          <w:sz w:val="20"/>
          <w:szCs w:val="20"/>
        </w:rPr>
        <w:t>:</w:t>
      </w:r>
      <w:bookmarkEnd w:id="24"/>
    </w:p>
    <w:p>
      <w:pPr>
        <w:numPr>
          <w:ilvl w:val="0"/>
          <w:numId w:val="11"/>
        </w:numPr>
        <w:adjustRightInd w:val="0"/>
        <w:snapToGrid w:val="0"/>
        <w:spacing w:after="0" w:line="240" w:lineRule="auto"/>
        <w:jc w:val="both"/>
        <w:rPr>
          <w:rFonts w:ascii="Times New Roman" w:hAnsi="Times New Roman"/>
          <w:b/>
          <w:bCs/>
          <w:i/>
          <w:iCs/>
          <w:sz w:val="20"/>
          <w:szCs w:val="20"/>
        </w:rPr>
      </w:pPr>
      <w:r>
        <w:rPr>
          <w:rFonts w:ascii="Times New Roman" w:hAnsi="Times New Roman"/>
          <w:b/>
          <w:bCs/>
          <w:i/>
          <w:iCs/>
          <w:sz w:val="20"/>
          <w:szCs w:val="20"/>
        </w:rPr>
        <w:t>gNB configures a pathloss RS list or cell list for UE, UE can adopt or choose pathloss RS from the configured list.</w:t>
      </w:r>
      <w:bookmarkStart w:id="25" w:name="_Ref16796"/>
    </w:p>
    <w:p>
      <w:pPr>
        <w:numPr>
          <w:ilvl w:val="0"/>
          <w:numId w:val="11"/>
        </w:numPr>
        <w:adjustRightInd w:val="0"/>
        <w:snapToGrid w:val="0"/>
        <w:spacing w:after="0" w:line="240" w:lineRule="auto"/>
        <w:jc w:val="both"/>
        <w:rPr>
          <w:rFonts w:ascii="Times New Roman" w:hAnsi="Times New Roman"/>
          <w:b/>
          <w:bCs/>
          <w:i/>
          <w:iCs/>
          <w:sz w:val="20"/>
          <w:szCs w:val="20"/>
        </w:rPr>
      </w:pPr>
      <w:r>
        <w:rPr>
          <w:rFonts w:ascii="Times New Roman" w:hAnsi="Times New Roman"/>
          <w:b/>
          <w:bCs/>
          <w:i/>
          <w:iCs/>
          <w:sz w:val="20"/>
          <w:szCs w:val="20"/>
        </w:rPr>
        <w:t xml:space="preserve">The last serving cell gNB configures multiple configurations of </w:t>
      </w:r>
      <w:r>
        <w:rPr>
          <w:rFonts w:hint="eastAsia" w:ascii="Times New Roman" w:hAnsi="Times New Roman"/>
          <w:b/>
          <w:bCs/>
          <w:i/>
          <w:iCs/>
          <w:sz w:val="20"/>
          <w:szCs w:val="20"/>
          <w:lang w:val="en-US" w:eastAsia="zh-CN"/>
        </w:rPr>
        <w:t>p</w:t>
      </w:r>
      <w:r>
        <w:rPr>
          <w:rFonts w:ascii="Times New Roman" w:hAnsi="Times New Roman"/>
          <w:b/>
          <w:bCs/>
          <w:i/>
          <w:iCs/>
          <w:sz w:val="20"/>
          <w:szCs w:val="20"/>
        </w:rPr>
        <w:t>athloss RS, where each configuration is for one cell in the valid area. And UE can automatically use the corresponding when UE camps on a new cell.</w:t>
      </w:r>
      <w:bookmarkEnd w:id="25"/>
    </w:p>
    <w:p>
      <w:pPr>
        <w:pStyle w:val="5"/>
        <w:spacing w:before="180" w:beforeLines="50" w:after="180" w:afterLines="50"/>
        <w:ind w:firstLine="201"/>
        <w:rPr>
          <w:sz w:val="21"/>
          <w:szCs w:val="21"/>
          <w:lang w:val="en-US"/>
        </w:rPr>
      </w:pPr>
      <w:r>
        <w:rPr>
          <w:rFonts w:hint="eastAsia"/>
          <w:sz w:val="20"/>
          <w:szCs w:val="20"/>
          <w:lang w:val="en-US"/>
        </w:rPr>
        <w:t>Validity criteria of pathloss RS</w:t>
      </w:r>
    </w:p>
    <w:p>
      <w:pPr>
        <w:adjustRightInd w:val="0"/>
        <w:snapToGrid w:val="0"/>
        <w:spacing w:after="180" w:afterLines="50" w:line="240" w:lineRule="auto"/>
        <w:jc w:val="both"/>
        <w:rPr>
          <w:rFonts w:ascii="Times New Roman" w:hAnsi="Times New Roman"/>
          <w:sz w:val="20"/>
          <w:szCs w:val="20"/>
        </w:rPr>
      </w:pPr>
      <w:r>
        <w:rPr>
          <w:rFonts w:hint="eastAsia" w:ascii="Times New Roman" w:hAnsi="Times New Roman"/>
          <w:sz w:val="20"/>
          <w:szCs w:val="20"/>
        </w:rPr>
        <w:t>For the last FFS mentioned in the agreement, the validity criteria of pathloss RS and UE behavior should be considered if it determines that the validity criteria of pathloss RS is not met. In our opinion, gNB can configure the RSRP threshold for the pathloss validity criteria. If the measured RSRP of the reference signals is lower than the threshold, UE should regard this pathloss RS as invalid. A request for pathloss RS configuration update is required. In this way, the pathloss RS can be updated in time. Hence, we have the following proposal:</w:t>
      </w:r>
    </w:p>
    <w:p>
      <w:pPr>
        <w:adjustRightInd w:val="0"/>
        <w:snapToGrid w:val="0"/>
        <w:spacing w:after="180" w:afterLines="50" w:line="240" w:lineRule="auto"/>
        <w:jc w:val="both"/>
        <w:rPr>
          <w:rFonts w:ascii="Times New Roman" w:hAnsi="Times New Roman"/>
          <w:b/>
          <w:bCs/>
          <w:i/>
          <w:iCs/>
          <w:sz w:val="20"/>
          <w:szCs w:val="20"/>
        </w:rPr>
      </w:pPr>
      <w:bookmarkStart w:id="26" w:name="_Ref12676"/>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5</w:t>
      </w:r>
      <w:r>
        <w:rPr>
          <w:rFonts w:ascii="Times New Roman" w:hAnsi="Times New Roman"/>
          <w:b/>
          <w:bCs/>
          <w:i/>
          <w:iCs/>
          <w:sz w:val="20"/>
          <w:szCs w:val="20"/>
        </w:rPr>
        <w:fldChar w:fldCharType="end"/>
      </w:r>
      <w:r>
        <w:rPr>
          <w:rFonts w:ascii="Times New Roman" w:hAnsi="Times New Roman"/>
          <w:b/>
          <w:bCs/>
          <w:i/>
          <w:iCs/>
          <w:sz w:val="20"/>
          <w:szCs w:val="20"/>
        </w:rPr>
        <w:t>:</w:t>
      </w:r>
      <w:r>
        <w:rPr>
          <w:rFonts w:hint="eastAsia" w:ascii="Times New Roman" w:hAnsi="Times New Roman"/>
          <w:b/>
          <w:bCs/>
          <w:i/>
          <w:iCs/>
          <w:sz w:val="20"/>
          <w:szCs w:val="20"/>
        </w:rPr>
        <w:t xml:space="preserve"> Support gNB configuring RSRP threshold for the validity criteria of pathloss RS, and UE will regard the pathloss RS as invalid if the validity criteria is not met.</w:t>
      </w:r>
      <w:bookmarkEnd w:id="26"/>
    </w:p>
    <w:p>
      <w:pPr>
        <w:pStyle w:val="4"/>
        <w:spacing w:after="140"/>
        <w:ind w:firstLine="241"/>
      </w:pPr>
      <w:r>
        <w:t>Spatial Relation</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The spatial relation between a reference RS and the target SRS is configured in </w:t>
      </w:r>
      <w:r>
        <w:rPr>
          <w:rFonts w:ascii="Times New Roman" w:hAnsi="Times New Roman"/>
          <w:i/>
          <w:iCs/>
          <w:sz w:val="20"/>
          <w:szCs w:val="20"/>
        </w:rPr>
        <w:t>SRS-SpatialRelationInfoPos</w:t>
      </w:r>
      <w:r>
        <w:rPr>
          <w:rFonts w:ascii="Times New Roman" w:hAnsi="Times New Roman"/>
          <w:sz w:val="20"/>
          <w:szCs w:val="20"/>
        </w:rPr>
        <w:t xml:space="preserve">. UE shall transmit the target SRS resource(s) within the SRS resource set according to the spatial relation. In current </w:t>
      </w:r>
      <w:r>
        <w:rPr>
          <w:rFonts w:ascii="Times New Roman" w:hAnsi="Times New Roman"/>
          <w:i/>
          <w:iCs/>
          <w:sz w:val="20"/>
          <w:szCs w:val="20"/>
        </w:rPr>
        <w:t>SpatialRelationInfoPos</w:t>
      </w:r>
      <w:r>
        <w:rPr>
          <w:rFonts w:ascii="Times New Roman" w:hAnsi="Times New Roman"/>
          <w:sz w:val="20"/>
          <w:szCs w:val="20"/>
        </w:rPr>
        <w:t xml:space="preserve"> IE, the spatial relation could be SSB/CSI-RS/SRS in the serving cell or SSB/PRS of the neighbor cell. When the UE moves to a new cell, the current spatial relation may be invalid. As shown in </w:t>
      </w:r>
      <w:r>
        <w:rPr>
          <w:rFonts w:ascii="Times New Roman" w:hAnsi="Times New Roman"/>
          <w:sz w:val="20"/>
          <w:szCs w:val="20"/>
        </w:rPr>
        <w:fldChar w:fldCharType="begin"/>
      </w:r>
      <w:r>
        <w:rPr>
          <w:rFonts w:ascii="Times New Roman" w:hAnsi="Times New Roman"/>
          <w:sz w:val="20"/>
          <w:szCs w:val="20"/>
        </w:rPr>
        <w:instrText xml:space="preserve"> REF _Ref16146 \h </w:instrText>
      </w:r>
      <w:r>
        <w:rPr>
          <w:rFonts w:ascii="Times New Roman" w:hAnsi="Times New Roman"/>
          <w:sz w:val="20"/>
          <w:szCs w:val="20"/>
        </w:rPr>
        <w:fldChar w:fldCharType="separate"/>
      </w:r>
      <w:r>
        <w:rPr>
          <w:rFonts w:ascii="Times New Roman" w:hAnsi="Times New Roman"/>
          <w:sz w:val="20"/>
          <w:szCs w:val="20"/>
        </w:rPr>
        <w:t>Figure 7</w:t>
      </w:r>
      <w:r>
        <w:rPr>
          <w:rFonts w:ascii="Times New Roman" w:hAnsi="Times New Roman"/>
          <w:sz w:val="20"/>
          <w:szCs w:val="20"/>
        </w:rPr>
        <w:fldChar w:fldCharType="end"/>
      </w:r>
      <w:r>
        <w:rPr>
          <w:rFonts w:ascii="Times New Roman" w:hAnsi="Times New Roman"/>
          <w:sz w:val="20"/>
          <w:szCs w:val="20"/>
        </w:rPr>
        <w:t>, UE may receive spatial relation configuration from its serving cell before movement, and the SRS can be transmitted with the configured beam direction. If UE move</w:t>
      </w:r>
      <w:r>
        <w:rPr>
          <w:rFonts w:hint="eastAsia" w:ascii="Times New Roman" w:hAnsi="Times New Roman"/>
          <w:sz w:val="20"/>
          <w:szCs w:val="20"/>
        </w:rPr>
        <w:t>s</w:t>
      </w:r>
      <w:r>
        <w:rPr>
          <w:rFonts w:ascii="Times New Roman" w:hAnsi="Times New Roman"/>
          <w:sz w:val="20"/>
          <w:szCs w:val="20"/>
        </w:rPr>
        <w:t xml:space="preserve"> to another cell but the spatial relation remains unchanged, the transmitted SRS cannot be detected by the receiver. </w:t>
      </w:r>
    </w:p>
    <w:p>
      <w:pPr>
        <w:adjustRightInd w:val="0"/>
        <w:snapToGrid w:val="0"/>
        <w:spacing w:before="180" w:beforeLines="50" w:after="180" w:afterLines="50" w:line="240" w:lineRule="auto"/>
        <w:jc w:val="center"/>
        <w:rPr>
          <w:rFonts w:ascii="Times New Roman" w:hAnsi="Times New Roman"/>
        </w:rPr>
      </w:pPr>
      <w:r>
        <w:rPr>
          <w:rFonts w:ascii="Times New Roman" w:hAnsi="Times New Roman"/>
        </w:rPr>
        <w:drawing>
          <wp:inline distT="0" distB="0" distL="114300" distR="114300">
            <wp:extent cx="3283585" cy="1684020"/>
            <wp:effectExtent l="0" t="0" r="12065" b="11430"/>
            <wp:docPr id="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
                    <pic:cNvPicPr>
                      <a:picLocks noChangeAspect="1"/>
                    </pic:cNvPicPr>
                  </pic:nvPicPr>
                  <pic:blipFill>
                    <a:blip r:embed="rId14"/>
                    <a:stretch>
                      <a:fillRect/>
                    </a:stretch>
                  </pic:blipFill>
                  <pic:spPr>
                    <a:xfrm>
                      <a:off x="0" y="0"/>
                      <a:ext cx="3283585" cy="1684020"/>
                    </a:xfrm>
                    <a:prstGeom prst="rect">
                      <a:avLst/>
                    </a:prstGeom>
                    <a:noFill/>
                    <a:ln>
                      <a:noFill/>
                    </a:ln>
                  </pic:spPr>
                </pic:pic>
              </a:graphicData>
            </a:graphic>
          </wp:inline>
        </w:drawing>
      </w:r>
    </w:p>
    <w:p>
      <w:pPr>
        <w:pStyle w:val="15"/>
        <w:adjustRightInd w:val="0"/>
        <w:snapToGrid w:val="0"/>
        <w:spacing w:before="180" w:beforeLines="50" w:after="180" w:afterLines="50"/>
        <w:jc w:val="center"/>
        <w:rPr>
          <w:b w:val="0"/>
          <w:bCs w:val="0"/>
          <w:lang w:val="en-US" w:eastAsia="zh-CN"/>
        </w:rPr>
      </w:pPr>
      <w:bookmarkStart w:id="27" w:name="_Ref16146"/>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7</w:t>
      </w:r>
      <w:r>
        <w:rPr>
          <w:b w:val="0"/>
          <w:bCs w:val="0"/>
        </w:rPr>
        <w:fldChar w:fldCharType="end"/>
      </w:r>
      <w:bookmarkEnd w:id="27"/>
      <w:r>
        <w:rPr>
          <w:b w:val="0"/>
          <w:bCs w:val="0"/>
          <w:lang w:val="en-US" w:eastAsia="zh-CN"/>
        </w:rPr>
        <w:t xml:space="preserve"> Example for spatial relation difference in SRS transmission</w:t>
      </w:r>
    </w:p>
    <w:p>
      <w:pPr>
        <w:adjustRightInd w:val="0"/>
        <w:snapToGrid w:val="0"/>
        <w:spacing w:after="180" w:afterLines="50" w:line="240" w:lineRule="auto"/>
        <w:rPr>
          <w:rFonts w:ascii="Times New Roman" w:hAnsi="Times New Roman"/>
          <w:sz w:val="20"/>
          <w:szCs w:val="20"/>
        </w:rPr>
      </w:pPr>
      <w:r>
        <w:rPr>
          <w:rFonts w:hint="eastAsia" w:ascii="Times New Roman" w:hAnsi="Times New Roman"/>
          <w:sz w:val="20"/>
          <w:szCs w:val="20"/>
        </w:rPr>
        <w:t>Concerning the spatial relation configurations, the following proposal was agreed in last meeting:</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pStyle w:val="94"/>
              <w:snapToGrid w:val="0"/>
              <w:spacing w:afterLines="50" w:line="240" w:lineRule="auto"/>
              <w:ind w:left="0"/>
              <w:jc w:val="both"/>
              <w:rPr>
                <w:iCs/>
                <w:strike/>
                <w:sz w:val="20"/>
              </w:rPr>
            </w:pPr>
            <w:r>
              <w:rPr>
                <w:sz w:val="20"/>
                <w:lang w:eastAsia="zh-CN"/>
              </w:rPr>
              <w:t xml:space="preserve">For the spatial relation of an SRS for positioning configuration in multiple cells for UEs in RRC_INACTIVE state, further study the following options: </w:t>
            </w:r>
          </w:p>
          <w:p>
            <w:pPr>
              <w:pStyle w:val="94"/>
              <w:numPr>
                <w:ilvl w:val="1"/>
                <w:numId w:val="5"/>
              </w:numPr>
              <w:snapToGrid w:val="0"/>
              <w:spacing w:afterLines="50" w:line="240" w:lineRule="auto"/>
              <w:jc w:val="both"/>
              <w:rPr>
                <w:sz w:val="20"/>
                <w:lang w:eastAsia="zh-CN"/>
              </w:rPr>
            </w:pPr>
            <w:r>
              <w:rPr>
                <w:sz w:val="20"/>
                <w:lang w:eastAsia="zh-CN"/>
              </w:rPr>
              <w:t>Option 1: Spatial relation information is absent in the configuration</w:t>
            </w:r>
          </w:p>
          <w:p>
            <w:pPr>
              <w:pStyle w:val="94"/>
              <w:numPr>
                <w:ilvl w:val="2"/>
                <w:numId w:val="5"/>
              </w:numPr>
              <w:snapToGrid w:val="0"/>
              <w:spacing w:afterLines="50" w:line="240" w:lineRule="auto"/>
              <w:jc w:val="both"/>
              <w:rPr>
                <w:sz w:val="20"/>
                <w:lang w:eastAsia="zh-CN"/>
              </w:rPr>
            </w:pPr>
            <w:r>
              <w:rPr>
                <w:sz w:val="20"/>
                <w:lang w:eastAsia="zh-CN"/>
              </w:rPr>
              <w:t>FFS: different approaches for down selection at least include the following:</w:t>
            </w:r>
          </w:p>
          <w:p>
            <w:pPr>
              <w:pStyle w:val="94"/>
              <w:numPr>
                <w:ilvl w:val="3"/>
                <w:numId w:val="5"/>
              </w:numPr>
              <w:snapToGrid w:val="0"/>
              <w:spacing w:afterLines="50" w:line="240" w:lineRule="auto"/>
              <w:jc w:val="both"/>
              <w:rPr>
                <w:sz w:val="20"/>
                <w:lang w:eastAsia="zh-CN"/>
              </w:rPr>
            </w:pPr>
            <w:r>
              <w:rPr>
                <w:rFonts w:eastAsia="等线"/>
                <w:sz w:val="20"/>
                <w:lang w:eastAsia="zh-CN"/>
              </w:rPr>
              <w:t>1a: UE transmits SRS for positioning resources using different spatial domain transmission filter</w:t>
            </w:r>
          </w:p>
          <w:p>
            <w:pPr>
              <w:pStyle w:val="94"/>
              <w:numPr>
                <w:ilvl w:val="3"/>
                <w:numId w:val="5"/>
              </w:numPr>
              <w:snapToGrid w:val="0"/>
              <w:spacing w:afterLines="50" w:line="240" w:lineRule="auto"/>
              <w:jc w:val="both"/>
              <w:rPr>
                <w:sz w:val="20"/>
                <w:lang w:eastAsia="zh-CN"/>
              </w:rPr>
            </w:pPr>
            <w:r>
              <w:rPr>
                <w:rFonts w:eastAsia="等线"/>
                <w:sz w:val="20"/>
                <w:lang w:eastAsia="zh-CN"/>
              </w:rPr>
              <w:t>1b: UE transmits SRS for positioning resource(s) using a fixed spatial domain transmission filter</w:t>
            </w:r>
          </w:p>
          <w:p>
            <w:pPr>
              <w:numPr>
                <w:ilvl w:val="2"/>
                <w:numId w:val="4"/>
              </w:numPr>
              <w:adjustRightInd w:val="0"/>
              <w:snapToGrid w:val="0"/>
              <w:spacing w:after="180" w:afterLines="50" w:line="240" w:lineRule="auto"/>
              <w:contextualSpacing/>
              <w:jc w:val="both"/>
              <w:rPr>
                <w:rFonts w:ascii="Times New Roman" w:hAnsi="Times New Roman"/>
                <w:sz w:val="20"/>
                <w:szCs w:val="20"/>
              </w:rPr>
            </w:pPr>
            <w:r>
              <w:rPr>
                <w:rFonts w:ascii="Times New Roman" w:hAnsi="Times New Roman" w:eastAsia="等线"/>
                <w:sz w:val="20"/>
                <w:szCs w:val="20"/>
              </w:rPr>
              <w:t>FFS criterion on UE determination of the fixed spatial domain transmission filter (e.g., up to UE implementation, based on a selected SSB of the camping cell, based on the configured path-loss RS such as SSB, etc.)</w:t>
            </w:r>
          </w:p>
          <w:p>
            <w:pPr>
              <w:pStyle w:val="94"/>
              <w:numPr>
                <w:ilvl w:val="1"/>
                <w:numId w:val="5"/>
              </w:numPr>
              <w:snapToGrid w:val="0"/>
              <w:spacing w:afterLines="50" w:line="240" w:lineRule="auto"/>
              <w:jc w:val="both"/>
              <w:rPr>
                <w:sz w:val="20"/>
                <w:lang w:eastAsia="zh-CN"/>
              </w:rPr>
            </w:pPr>
            <w:r>
              <w:rPr>
                <w:rFonts w:eastAsia="等线"/>
                <w:sz w:val="20"/>
                <w:lang w:eastAsia="zh-CN"/>
              </w:rPr>
              <w:t>Option 2: Spatial relation information is provided in the configuration</w:t>
            </w:r>
          </w:p>
          <w:p>
            <w:pPr>
              <w:pStyle w:val="94"/>
              <w:numPr>
                <w:ilvl w:val="2"/>
                <w:numId w:val="5"/>
              </w:numPr>
              <w:snapToGrid w:val="0"/>
              <w:spacing w:afterLines="50" w:line="240" w:lineRule="auto"/>
              <w:jc w:val="both"/>
              <w:rPr>
                <w:sz w:val="20"/>
                <w:lang w:eastAsia="zh-CN"/>
              </w:rPr>
            </w:pPr>
            <w:r>
              <w:rPr>
                <w:rFonts w:eastAsia="等线"/>
                <w:sz w:val="20"/>
                <w:lang w:eastAsia="zh-CN"/>
              </w:rPr>
              <w:t>FFS details on the configuration and corresponding UE behavior, including whether the information is configured for all or subset of cells</w:t>
            </w:r>
          </w:p>
          <w:p>
            <w:pPr>
              <w:pStyle w:val="94"/>
              <w:numPr>
                <w:ilvl w:val="2"/>
                <w:numId w:val="5"/>
              </w:numPr>
              <w:snapToGrid w:val="0"/>
              <w:spacing w:afterLines="50" w:line="240" w:lineRule="auto"/>
              <w:jc w:val="both"/>
              <w:rPr>
                <w:sz w:val="20"/>
                <w:lang w:eastAsia="zh-CN"/>
              </w:rPr>
            </w:pPr>
            <w:r>
              <w:rPr>
                <w:rFonts w:eastAsia="等线"/>
                <w:sz w:val="20"/>
                <w:lang w:eastAsia="zh-CN"/>
              </w:rPr>
              <w:t>FFS signaling to configure the spatial relation information, e.g., via SRS activation message.</w:t>
            </w:r>
          </w:p>
          <w:p>
            <w:pPr>
              <w:pStyle w:val="94"/>
              <w:numPr>
                <w:ilvl w:val="1"/>
                <w:numId w:val="5"/>
              </w:numPr>
              <w:snapToGrid w:val="0"/>
              <w:spacing w:afterLines="50" w:line="240" w:lineRule="auto"/>
              <w:jc w:val="both"/>
              <w:rPr>
                <w:sz w:val="20"/>
                <w:lang w:eastAsia="zh-CN"/>
              </w:rPr>
            </w:pPr>
            <w:r>
              <w:rPr>
                <w:sz w:val="20"/>
                <w:lang w:eastAsia="zh-CN"/>
              </w:rPr>
              <w:t>Note: UE power consumption needs to be taken into account</w:t>
            </w:r>
          </w:p>
          <w:p>
            <w:pPr>
              <w:pStyle w:val="94"/>
              <w:numPr>
                <w:ilvl w:val="1"/>
                <w:numId w:val="5"/>
              </w:numPr>
              <w:snapToGrid w:val="0"/>
              <w:spacing w:afterLines="50" w:line="240" w:lineRule="auto"/>
              <w:jc w:val="both"/>
              <w:rPr>
                <w:sz w:val="20"/>
                <w:lang w:eastAsia="ko-KR"/>
              </w:rPr>
            </w:pPr>
            <w:r>
              <w:rPr>
                <w:sz w:val="20"/>
                <w:lang w:eastAsia="zh-CN"/>
              </w:rPr>
              <w:t xml:space="preserve">FFS validity criteria of spatial relation for the configured RS and UE behavior if it determines that the validity criteria of </w:t>
            </w:r>
            <w:r>
              <w:rPr>
                <w:rFonts w:eastAsia="等线"/>
                <w:sz w:val="20"/>
                <w:lang w:eastAsia="zh-CN"/>
              </w:rPr>
              <w:t>spatial</w:t>
            </w:r>
            <w:r>
              <w:rPr>
                <w:sz w:val="20"/>
                <w:lang w:eastAsia="zh-CN"/>
              </w:rPr>
              <w:t xml:space="preserve"> relation for the configured RS is not met, if any, to avoid frequent RRC connection for SRS (re)configuration.</w:t>
            </w:r>
          </w:p>
        </w:tc>
      </w:tr>
    </w:tbl>
    <w:p>
      <w:pPr>
        <w:adjustRightInd w:val="0"/>
        <w:snapToGrid w:val="0"/>
        <w:spacing w:after="180" w:afterLines="50" w:line="240" w:lineRule="auto"/>
        <w:jc w:val="both"/>
        <w:rPr>
          <w:rFonts w:ascii="Times New Roman" w:hAnsi="Times New Roman"/>
          <w:sz w:val="20"/>
          <w:szCs w:val="20"/>
        </w:rPr>
      </w:pPr>
      <w:r>
        <w:rPr>
          <w:rFonts w:hint="eastAsia" w:ascii="Times New Roman" w:hAnsi="Times New Roman"/>
          <w:sz w:val="20"/>
          <w:szCs w:val="20"/>
        </w:rPr>
        <w:t>In the following, we will analysis the spatial relation determination details with the options provided in the agreement.</w:t>
      </w:r>
    </w:p>
    <w:p>
      <w:pPr>
        <w:pStyle w:val="5"/>
        <w:spacing w:before="10" w:after="180" w:afterLines="50"/>
        <w:ind w:firstLine="211"/>
        <w:rPr>
          <w:sz w:val="21"/>
          <w:szCs w:val="21"/>
          <w:lang w:val="en-US"/>
        </w:rPr>
      </w:pPr>
      <w:r>
        <w:rPr>
          <w:rFonts w:hint="eastAsia"/>
          <w:sz w:val="21"/>
          <w:szCs w:val="21"/>
          <w:lang w:val="en-US"/>
        </w:rPr>
        <w:t>Spatial relation is absent in the configuration</w:t>
      </w:r>
    </w:p>
    <w:p>
      <w:pPr>
        <w:adjustRightInd w:val="0"/>
        <w:snapToGrid w:val="0"/>
        <w:spacing w:after="180" w:afterLines="50" w:line="240" w:lineRule="auto"/>
        <w:jc w:val="both"/>
        <w:rPr>
          <w:rFonts w:ascii="Times New Roman" w:hAnsi="Times New Roman"/>
          <w:sz w:val="20"/>
          <w:szCs w:val="20"/>
        </w:rPr>
      </w:pPr>
      <w:r>
        <w:rPr>
          <w:rFonts w:hint="eastAsia" w:ascii="Times New Roman" w:hAnsi="Times New Roman"/>
          <w:sz w:val="20"/>
          <w:szCs w:val="20"/>
        </w:rPr>
        <w:t>For option 1, if spatial relation is absent in the configuration, it</w:t>
      </w:r>
      <w:r>
        <w:rPr>
          <w:rFonts w:ascii="Times New Roman" w:hAnsi="Times New Roman"/>
          <w:sz w:val="20"/>
          <w:szCs w:val="20"/>
        </w:rPr>
        <w:t>’</w:t>
      </w:r>
      <w:r>
        <w:rPr>
          <w:rFonts w:hint="eastAsia" w:ascii="Times New Roman" w:hAnsi="Times New Roman"/>
          <w:sz w:val="20"/>
          <w:szCs w:val="20"/>
        </w:rPr>
        <w:t xml:space="preserve">s up to UE implementation when selecting spatial relation. </w:t>
      </w:r>
    </w:p>
    <w:p>
      <w:pPr>
        <w:adjustRightInd w:val="0"/>
        <w:snapToGrid w:val="0"/>
        <w:spacing w:after="180" w:afterLines="50" w:line="240" w:lineRule="auto"/>
        <w:jc w:val="both"/>
        <w:rPr>
          <w:rFonts w:ascii="Times New Roman" w:hAnsi="Times New Roman"/>
          <w:sz w:val="20"/>
          <w:szCs w:val="20"/>
        </w:rPr>
      </w:pPr>
      <w:r>
        <w:rPr>
          <w:rFonts w:hint="eastAsia" w:ascii="Times New Roman" w:hAnsi="Times New Roman"/>
          <w:sz w:val="20"/>
          <w:szCs w:val="20"/>
        </w:rPr>
        <w:t xml:space="preserve">If choice 1a, i.e., </w:t>
      </w:r>
      <w:r>
        <w:rPr>
          <w:rFonts w:ascii="Times New Roman" w:hAnsi="Times New Roman" w:eastAsia="等线"/>
          <w:sz w:val="20"/>
          <w:szCs w:val="20"/>
        </w:rPr>
        <w:t>UE transmits SRS for positioning resources using different spatial domain transmission filter</w:t>
      </w:r>
      <w:r>
        <w:rPr>
          <w:rFonts w:hint="eastAsia" w:ascii="Times New Roman" w:hAnsi="Times New Roman" w:eastAsia="等线"/>
          <w:sz w:val="20"/>
          <w:szCs w:val="20"/>
        </w:rPr>
        <w:t>,</w:t>
      </w:r>
      <w:r>
        <w:rPr>
          <w:rFonts w:hint="eastAsia" w:ascii="Times New Roman" w:hAnsi="Times New Roman"/>
          <w:sz w:val="20"/>
          <w:szCs w:val="20"/>
        </w:rPr>
        <w:t xml:space="preserve"> is selected as the spatial relation determination method, </w:t>
      </w:r>
      <w:r>
        <w:rPr>
          <w:rFonts w:hint="eastAsia" w:ascii="Times New Roman" w:hAnsi="Times New Roman"/>
          <w:b/>
          <w:bCs/>
          <w:i/>
          <w:iCs/>
          <w:sz w:val="20"/>
          <w:szCs w:val="20"/>
        </w:rPr>
        <w:t>similar to pathloss RS selection</w:t>
      </w:r>
      <w:r>
        <w:rPr>
          <w:rFonts w:hint="eastAsia" w:ascii="Times New Roman" w:hAnsi="Times New Roman"/>
          <w:sz w:val="20"/>
          <w:szCs w:val="20"/>
        </w:rPr>
        <w:t xml:space="preserve">, UE can measure and select reference signals with a certain RSRP limitation as </w:t>
      </w:r>
      <w:r>
        <w:rPr>
          <w:rFonts w:ascii="Times New Roman" w:hAnsi="Times New Roman"/>
          <w:i/>
          <w:iCs/>
          <w:sz w:val="20"/>
          <w:szCs w:val="20"/>
        </w:rPr>
        <w:t>SpatialRelationInfoPos</w:t>
      </w:r>
      <w:r>
        <w:rPr>
          <w:rFonts w:hint="eastAsia" w:ascii="Times New Roman" w:hAnsi="Times New Roman"/>
          <w:sz w:val="20"/>
          <w:szCs w:val="20"/>
        </w:rPr>
        <w:t xml:space="preserve"> for positioning SRS transmission. And the following spatial relation selection criterion should be considered:</w:t>
      </w:r>
    </w:p>
    <w:p>
      <w:pPr>
        <w:adjustRightInd w:val="0"/>
        <w:snapToGrid w:val="0"/>
        <w:spacing w:after="180" w:afterLines="50" w:line="240" w:lineRule="auto"/>
        <w:jc w:val="both"/>
        <w:rPr>
          <w:rFonts w:ascii="Times New Roman" w:hAnsi="Times New Roman"/>
          <w:sz w:val="20"/>
          <w:szCs w:val="20"/>
        </w:rPr>
      </w:pPr>
      <w:r>
        <w:rPr>
          <w:rFonts w:hint="eastAsia" w:ascii="Times New Roman" w:hAnsi="Times New Roman"/>
          <w:b/>
          <w:bCs/>
          <w:sz w:val="20"/>
          <w:szCs w:val="20"/>
          <w:u w:val="single"/>
        </w:rPr>
        <w:t>Beam quality limitation:</w:t>
      </w:r>
      <w:r>
        <w:rPr>
          <w:rFonts w:hint="eastAsia" w:ascii="Times New Roman" w:hAnsi="Times New Roman"/>
          <w:sz w:val="20"/>
          <w:szCs w:val="20"/>
        </w:rPr>
        <w:t xml:space="preserve"> For example, UE can select the spatial relation of SRS for positioning as the received signals with the highest RSRP within the validity area. From another perspective, UE can also measure the RSRP of SSB with index </w:t>
      </w:r>
      <w:r>
        <w:rPr>
          <w:rFonts w:hint="eastAsia" w:ascii="Times New Roman" w:hAnsi="Times New Roman"/>
          <w:i/>
          <w:iCs/>
          <w:sz w:val="20"/>
          <w:szCs w:val="20"/>
        </w:rPr>
        <w:t>k</w:t>
      </w:r>
      <w:r>
        <w:rPr>
          <w:rFonts w:hint="eastAsia" w:ascii="Times New Roman" w:hAnsi="Times New Roman"/>
          <w:sz w:val="20"/>
          <w:szCs w:val="20"/>
        </w:rPr>
        <w:t xml:space="preserve"> from different cells. For example, let avg(RSRP </w:t>
      </w:r>
      <w:r>
        <w:rPr>
          <w:rFonts w:hint="eastAsia" w:ascii="Times New Roman" w:hAnsi="Times New Roman"/>
          <w:i/>
          <w:iCs/>
          <w:sz w:val="20"/>
          <w:szCs w:val="20"/>
        </w:rPr>
        <w:t>k</w:t>
      </w:r>
      <w:r>
        <w:rPr>
          <w:rFonts w:hint="eastAsia" w:ascii="Times New Roman" w:hAnsi="Times New Roman"/>
          <w:sz w:val="20"/>
          <w:szCs w:val="20"/>
        </w:rPr>
        <w:t xml:space="preserve">,cell </w:t>
      </w:r>
      <w:r>
        <w:rPr>
          <w:rFonts w:hint="eastAsia" w:ascii="Times New Roman" w:hAnsi="Times New Roman"/>
          <w:i/>
          <w:iCs/>
          <w:sz w:val="20"/>
          <w:szCs w:val="20"/>
        </w:rPr>
        <w:t>i</w:t>
      </w:r>
      <w:r>
        <w:rPr>
          <w:rFonts w:hint="eastAsia" w:ascii="Times New Roman" w:hAnsi="Times New Roman"/>
          <w:sz w:val="20"/>
          <w:szCs w:val="20"/>
        </w:rPr>
        <w:t xml:space="preserve">) denote the average RSRP of SSB </w:t>
      </w:r>
      <w:r>
        <w:rPr>
          <w:rFonts w:hint="eastAsia" w:ascii="Times New Roman" w:hAnsi="Times New Roman"/>
          <w:i/>
          <w:iCs/>
          <w:sz w:val="20"/>
          <w:szCs w:val="20"/>
        </w:rPr>
        <w:t>k</w:t>
      </w:r>
      <w:r>
        <w:rPr>
          <w:rFonts w:hint="eastAsia" w:ascii="Times New Roman" w:hAnsi="Times New Roman"/>
          <w:sz w:val="20"/>
          <w:szCs w:val="20"/>
        </w:rPr>
        <w:t xml:space="preserve"> </w:t>
      </w:r>
      <w:r>
        <w:rPr>
          <w:rFonts w:hint="eastAsia" w:ascii="Times New Roman" w:hAnsi="Times New Roman"/>
          <w:sz w:val="20"/>
          <w:szCs w:val="20"/>
          <w:lang w:val="en-US" w:eastAsia="zh-CN"/>
        </w:rPr>
        <w:t xml:space="preserve">in time domain </w:t>
      </w:r>
      <w:r>
        <w:rPr>
          <w:rFonts w:hint="eastAsia" w:ascii="Times New Roman" w:hAnsi="Times New Roman"/>
          <w:sz w:val="20"/>
          <w:szCs w:val="20"/>
        </w:rPr>
        <w:t xml:space="preserve">transmitted in cell </w:t>
      </w:r>
      <w:r>
        <w:rPr>
          <w:rFonts w:hint="eastAsia" w:ascii="Times New Roman" w:hAnsi="Times New Roman"/>
          <w:i/>
          <w:iCs/>
          <w:sz w:val="20"/>
          <w:szCs w:val="20"/>
        </w:rPr>
        <w:t>i</w:t>
      </w:r>
      <w:r>
        <w:rPr>
          <w:rFonts w:hint="eastAsia" w:ascii="Times New Roman" w:hAnsi="Times New Roman"/>
          <w:sz w:val="20"/>
          <w:szCs w:val="20"/>
        </w:rPr>
        <w:t xml:space="preserve">, UE will select SSB from the cells whose avg(RSRP </w:t>
      </w:r>
      <w:r>
        <w:rPr>
          <w:rFonts w:hint="eastAsia" w:ascii="Times New Roman" w:hAnsi="Times New Roman"/>
          <w:i/>
          <w:iCs/>
          <w:sz w:val="20"/>
          <w:szCs w:val="20"/>
        </w:rPr>
        <w:t>k</w:t>
      </w:r>
      <w:r>
        <w:rPr>
          <w:rFonts w:hint="eastAsia" w:ascii="Times New Roman" w:hAnsi="Times New Roman"/>
          <w:sz w:val="20"/>
          <w:szCs w:val="20"/>
        </w:rPr>
        <w:t xml:space="preserve">,cell </w:t>
      </w:r>
      <w:r>
        <w:rPr>
          <w:rFonts w:hint="eastAsia" w:ascii="Times New Roman" w:hAnsi="Times New Roman"/>
          <w:i/>
          <w:iCs/>
          <w:sz w:val="20"/>
          <w:szCs w:val="20"/>
        </w:rPr>
        <w:t>i</w:t>
      </w:r>
      <w:r>
        <w:rPr>
          <w:rFonts w:hint="eastAsia" w:ascii="Times New Roman" w:hAnsi="Times New Roman"/>
          <w:sz w:val="20"/>
          <w:szCs w:val="20"/>
        </w:rPr>
        <w:t xml:space="preserve">) meets a certain RSRP limitation as its spatial relation. </w:t>
      </w:r>
    </w:p>
    <w:p>
      <w:pPr>
        <w:adjustRightInd w:val="0"/>
        <w:snapToGrid w:val="0"/>
        <w:spacing w:after="180" w:afterLines="50" w:line="240" w:lineRule="auto"/>
        <w:jc w:val="both"/>
        <w:rPr>
          <w:rFonts w:ascii="Times New Roman" w:hAnsi="Times New Roman"/>
          <w:sz w:val="20"/>
          <w:szCs w:val="20"/>
        </w:rPr>
      </w:pPr>
      <w:r>
        <w:rPr>
          <w:rFonts w:hint="eastAsia" w:ascii="Times New Roman" w:hAnsi="Times New Roman"/>
          <w:b/>
          <w:bCs/>
          <w:sz w:val="20"/>
          <w:szCs w:val="20"/>
          <w:u w:val="single"/>
        </w:rPr>
        <w:t>The number of spatial relation to be selected:</w:t>
      </w:r>
      <w:r>
        <w:rPr>
          <w:rFonts w:hint="eastAsia" w:ascii="Times New Roman" w:hAnsi="Times New Roman"/>
          <w:sz w:val="20"/>
          <w:szCs w:val="20"/>
        </w:rPr>
        <w:t xml:space="preserve"> Considering that the spatial relation is configured per SRS resource, the exact number of spatial relation to be selected can be determined based on the number of resources configured for a UE or up to UE</w:t>
      </w:r>
      <w:r>
        <w:rPr>
          <w:rFonts w:ascii="Times New Roman" w:hAnsi="Times New Roman"/>
          <w:sz w:val="20"/>
          <w:szCs w:val="20"/>
        </w:rPr>
        <w:t>’</w:t>
      </w:r>
      <w:r>
        <w:rPr>
          <w:rFonts w:hint="eastAsia" w:ascii="Times New Roman" w:hAnsi="Times New Roman"/>
          <w:sz w:val="20"/>
          <w:szCs w:val="20"/>
        </w:rPr>
        <w:t xml:space="preserve">s capability. </w:t>
      </w:r>
    </w:p>
    <w:p>
      <w:pPr>
        <w:adjustRightInd w:val="0"/>
        <w:snapToGrid w:val="0"/>
        <w:spacing w:after="180" w:afterLines="50" w:line="240" w:lineRule="auto"/>
        <w:jc w:val="both"/>
        <w:rPr>
          <w:rFonts w:ascii="Times New Roman" w:hAnsi="Times New Roman"/>
          <w:sz w:val="20"/>
          <w:szCs w:val="20"/>
        </w:rPr>
      </w:pPr>
      <w:r>
        <w:rPr>
          <w:rFonts w:hint="eastAsia" w:ascii="Times New Roman" w:hAnsi="Times New Roman"/>
          <w:b/>
          <w:bCs/>
          <w:sz w:val="20"/>
          <w:szCs w:val="20"/>
          <w:u w:val="single"/>
        </w:rPr>
        <w:t>Cell limitation:</w:t>
      </w:r>
      <w:r>
        <w:rPr>
          <w:rFonts w:hint="eastAsia" w:ascii="Times New Roman" w:hAnsi="Times New Roman"/>
          <w:b/>
          <w:bCs/>
          <w:sz w:val="20"/>
          <w:szCs w:val="20"/>
        </w:rPr>
        <w:t xml:space="preserve"> </w:t>
      </w:r>
      <w:r>
        <w:rPr>
          <w:rFonts w:hint="eastAsia" w:ascii="Times New Roman" w:hAnsi="Times New Roman"/>
          <w:sz w:val="20"/>
          <w:szCs w:val="20"/>
        </w:rPr>
        <w:t>For a UE, the selected signals can come from the same cell (one cell may include more than one spatial relation for a UE) or from the different cells (at most one signal can be selected as spatial relation within a cell). UE can follow specific cell limitation criterion(s) when selecting spatial relation.</w:t>
      </w:r>
    </w:p>
    <w:p>
      <w:pPr>
        <w:adjustRightInd w:val="0"/>
        <w:snapToGrid w:val="0"/>
        <w:spacing w:after="180" w:afterLines="50" w:line="240" w:lineRule="auto"/>
        <w:jc w:val="both"/>
        <w:rPr>
          <w:rFonts w:ascii="Times New Roman" w:hAnsi="Times New Roman"/>
          <w:sz w:val="20"/>
          <w:szCs w:val="20"/>
        </w:rPr>
      </w:pPr>
      <w:r>
        <w:rPr>
          <w:rFonts w:hint="eastAsia" w:ascii="Times New Roman" w:hAnsi="Times New Roman"/>
          <w:b/>
          <w:bCs/>
          <w:sz w:val="20"/>
          <w:szCs w:val="20"/>
          <w:u w:val="single"/>
        </w:rPr>
        <w:t>Spatial relation type limitation:</w:t>
      </w:r>
      <w:r>
        <w:rPr>
          <w:rFonts w:hint="eastAsia" w:ascii="Times New Roman" w:hAnsi="Times New Roman"/>
          <w:sz w:val="20"/>
          <w:szCs w:val="20"/>
        </w:rPr>
        <w:t xml:space="preserve"> In current </w:t>
      </w:r>
      <w:r>
        <w:rPr>
          <w:rFonts w:ascii="Times New Roman" w:hAnsi="Times New Roman"/>
          <w:i/>
          <w:iCs/>
          <w:sz w:val="20"/>
          <w:szCs w:val="20"/>
        </w:rPr>
        <w:t>SpatialRelationInfoPos</w:t>
      </w:r>
      <w:r>
        <w:rPr>
          <w:rFonts w:hint="eastAsia" w:ascii="Times New Roman" w:hAnsi="Times New Roman"/>
          <w:i/>
          <w:iCs/>
          <w:sz w:val="20"/>
          <w:szCs w:val="20"/>
        </w:rPr>
        <w:t xml:space="preserve"> </w:t>
      </w:r>
      <w:r>
        <w:rPr>
          <w:rFonts w:hint="eastAsia" w:ascii="Times New Roman" w:hAnsi="Times New Roman"/>
          <w:sz w:val="20"/>
          <w:szCs w:val="20"/>
        </w:rPr>
        <w:t xml:space="preserve">configuration, gNB can configure SSB, DL PRS, SRS or CSI-RS for different UEs as their spatial relation. If spatial relation is absent in the configuration, UE can select from one or more type(s) from SSB, DL PRS, SRS or CSI-RS as its spatial relation. </w:t>
      </w:r>
    </w:p>
    <w:p>
      <w:pPr>
        <w:adjustRightInd w:val="0"/>
        <w:snapToGrid w:val="0"/>
        <w:spacing w:after="180" w:afterLines="50" w:line="240" w:lineRule="auto"/>
        <w:jc w:val="center"/>
      </w:pPr>
      <w:r>
        <w:drawing>
          <wp:inline distT="0" distB="0" distL="114300" distR="114300">
            <wp:extent cx="4505960" cy="2632075"/>
            <wp:effectExtent l="0" t="0" r="8890" b="1587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5"/>
                    <a:stretch>
                      <a:fillRect/>
                    </a:stretch>
                  </pic:blipFill>
                  <pic:spPr>
                    <a:xfrm>
                      <a:off x="0" y="0"/>
                      <a:ext cx="4505960" cy="2632075"/>
                    </a:xfrm>
                    <a:prstGeom prst="rect">
                      <a:avLst/>
                    </a:prstGeom>
                    <a:noFill/>
                    <a:ln>
                      <a:noFill/>
                    </a:ln>
                  </pic:spPr>
                </pic:pic>
              </a:graphicData>
            </a:graphic>
          </wp:inline>
        </w:drawing>
      </w:r>
    </w:p>
    <w:p>
      <w:pPr>
        <w:pStyle w:val="15"/>
        <w:adjustRightInd w:val="0"/>
        <w:snapToGrid w:val="0"/>
        <w:spacing w:before="180" w:beforeLines="50" w:after="180" w:afterLines="50"/>
        <w:jc w:val="center"/>
        <w:rPr>
          <w:rFonts w:hint="default"/>
          <w:b w:val="0"/>
          <w:bCs w:val="0"/>
          <w:lang w:val="en-US" w:eastAsia="zh-CN"/>
        </w:rPr>
      </w:pPr>
      <w:bookmarkStart w:id="28" w:name="_Ref27938"/>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8</w:t>
      </w:r>
      <w:r>
        <w:rPr>
          <w:b w:val="0"/>
          <w:bCs w:val="0"/>
        </w:rPr>
        <w:fldChar w:fldCharType="end"/>
      </w:r>
      <w:bookmarkEnd w:id="28"/>
      <w:r>
        <w:rPr>
          <w:b w:val="0"/>
          <w:bCs w:val="0"/>
          <w:lang w:val="en-US" w:eastAsia="zh-CN"/>
        </w:rPr>
        <w:t xml:space="preserve"> Example for SRS transmission</w:t>
      </w:r>
      <w:r>
        <w:rPr>
          <w:rFonts w:hint="eastAsia"/>
          <w:b w:val="0"/>
          <w:bCs w:val="0"/>
          <w:lang w:val="en-US" w:eastAsia="zh-CN"/>
        </w:rPr>
        <w:t xml:space="preserve"> considering</w:t>
      </w:r>
      <w:r>
        <w:rPr>
          <w:b w:val="0"/>
          <w:bCs w:val="0"/>
          <w:lang w:val="en-US" w:eastAsia="zh-CN"/>
        </w:rPr>
        <w:t xml:space="preserve"> </w:t>
      </w:r>
      <w:r>
        <w:rPr>
          <w:rFonts w:hint="eastAsia"/>
          <w:b w:val="0"/>
          <w:bCs w:val="0"/>
          <w:lang w:val="en-US" w:eastAsia="zh-CN"/>
        </w:rPr>
        <w:t>spatial relation selection</w:t>
      </w:r>
    </w:p>
    <w:p>
      <w:pPr>
        <w:adjustRightInd w:val="0"/>
        <w:snapToGrid w:val="0"/>
        <w:spacing w:after="180"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When UE moves to another cell</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coverage, it has to transmit SRS continuously during the positioning process. As shown in </w:t>
      </w:r>
      <w:r>
        <w:rPr>
          <w:rFonts w:hint="eastAsia" w:ascii="Times New Roman" w:hAnsi="Times New Roman"/>
          <w:sz w:val="20"/>
          <w:szCs w:val="20"/>
          <w:lang w:val="en-US" w:eastAsia="zh-CN"/>
        </w:rPr>
        <w:fldChar w:fldCharType="begin"/>
      </w:r>
      <w:r>
        <w:rPr>
          <w:rFonts w:hint="eastAsia" w:ascii="Times New Roman" w:hAnsi="Times New Roman"/>
          <w:sz w:val="20"/>
          <w:szCs w:val="20"/>
          <w:lang w:val="en-US" w:eastAsia="zh-CN"/>
        </w:rPr>
        <w:instrText xml:space="preserve"> REF _Ref27938 \h </w:instrText>
      </w:r>
      <w:r>
        <w:rPr>
          <w:rFonts w:hint="eastAsia" w:ascii="Times New Roman" w:hAnsi="Times New Roman"/>
          <w:sz w:val="20"/>
          <w:szCs w:val="20"/>
          <w:lang w:val="en-US" w:eastAsia="zh-CN"/>
        </w:rPr>
        <w:fldChar w:fldCharType="separate"/>
      </w:r>
      <w:r>
        <w:rPr>
          <w:rFonts w:hint="eastAsia" w:ascii="Times New Roman" w:hAnsi="Times New Roman"/>
          <w:sz w:val="20"/>
          <w:szCs w:val="20"/>
          <w:lang w:val="en-US" w:eastAsia="zh-CN"/>
        </w:rPr>
        <w:t>Figure 8</w:t>
      </w:r>
      <w:r>
        <w:rPr>
          <w:rFonts w:hint="eastAsia" w:ascii="Times New Roman" w:hAnsi="Times New Roman"/>
          <w:sz w:val="20"/>
          <w:szCs w:val="20"/>
          <w:lang w:val="en-US" w:eastAsia="zh-CN"/>
        </w:rPr>
        <w:fldChar w:fldCharType="end"/>
      </w:r>
      <w:r>
        <w:rPr>
          <w:rFonts w:hint="eastAsia" w:ascii="Times New Roman" w:hAnsi="Times New Roman"/>
          <w:sz w:val="20"/>
          <w:szCs w:val="20"/>
          <w:lang w:val="en-US" w:eastAsia="zh-CN"/>
        </w:rPr>
        <w:t>, UE should transmit SRS with different spatial relation. And the transmitted SRS for positioning should be received by gNBs in different directions. Therefore, it is more reasonable if UE choose the reference signals from different cells as its spatial relation for different resources. Alternatively, gNB can configure a cell list for spatial relation selection, UE can further choose spatial relation from the configured cells.</w:t>
      </w:r>
    </w:p>
    <w:p>
      <w:pPr>
        <w:adjustRightInd w:val="0"/>
        <w:snapToGrid w:val="0"/>
        <w:spacing w:after="180" w:afterLines="50" w:line="240" w:lineRule="auto"/>
        <w:jc w:val="both"/>
        <w:rPr>
          <w:rFonts w:hint="eastAsia" w:ascii="Times New Roman" w:hAnsi="Times New Roman"/>
          <w:sz w:val="20"/>
          <w:szCs w:val="20"/>
        </w:rPr>
      </w:pPr>
      <w:r>
        <w:rPr>
          <w:rFonts w:hint="eastAsia" w:ascii="Times New Roman" w:hAnsi="Times New Roman"/>
          <w:sz w:val="20"/>
          <w:szCs w:val="20"/>
        </w:rPr>
        <w:t xml:space="preserve">With this method, UE can select its spatial relation when camping on different cells in the SRS for positioning configuration validity area, and the selected spatial relation can provide reasonable basis for the transmission of positioning SRS. </w:t>
      </w:r>
    </w:p>
    <w:p>
      <w:pPr>
        <w:adjustRightInd w:val="0"/>
        <w:snapToGrid w:val="0"/>
        <w:spacing w:after="180" w:afterLines="50" w:line="240" w:lineRule="auto"/>
        <w:jc w:val="both"/>
        <w:rPr>
          <w:rFonts w:ascii="Times New Roman" w:hAnsi="Times New Roman"/>
          <w:sz w:val="20"/>
          <w:szCs w:val="20"/>
        </w:rPr>
      </w:pPr>
      <w:r>
        <w:rPr>
          <w:rFonts w:hint="eastAsia" w:ascii="Times New Roman" w:hAnsi="Times New Roman"/>
          <w:sz w:val="20"/>
          <w:szCs w:val="20"/>
        </w:rPr>
        <w:t xml:space="preserve">For choice 1b, if </w:t>
      </w:r>
      <w:r>
        <w:rPr>
          <w:rFonts w:ascii="Times New Roman" w:hAnsi="Times New Roman" w:eastAsia="等线"/>
          <w:sz w:val="20"/>
          <w:szCs w:val="20"/>
        </w:rPr>
        <w:t>UE transmits SRS for positioning resource(s) using a fixed spatial domain transmission filter</w:t>
      </w:r>
      <w:r>
        <w:rPr>
          <w:rFonts w:hint="eastAsia" w:ascii="Times New Roman" w:hAnsi="Times New Roman" w:eastAsia="等线"/>
          <w:sz w:val="20"/>
          <w:szCs w:val="20"/>
        </w:rPr>
        <w:t>, some of the TRP cannot receive the SRS for positioning with the desired beams as UE moves. Hence, we have the following proposal:</w:t>
      </w:r>
    </w:p>
    <w:p>
      <w:pPr>
        <w:adjustRightInd w:val="0"/>
        <w:snapToGrid w:val="0"/>
        <w:spacing w:after="0" w:line="240" w:lineRule="auto"/>
        <w:jc w:val="both"/>
        <w:rPr>
          <w:rFonts w:hint="eastAsia" w:ascii="Times New Roman" w:hAnsi="Times New Roman"/>
          <w:b/>
          <w:bCs/>
          <w:i/>
          <w:iCs/>
          <w:sz w:val="20"/>
          <w:szCs w:val="20"/>
          <w:lang w:val="en-US" w:eastAsia="zh-CN"/>
        </w:rPr>
      </w:pPr>
      <w:bookmarkStart w:id="29" w:name="_Ref12682"/>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6</w:t>
      </w:r>
      <w:r>
        <w:rPr>
          <w:rFonts w:ascii="Times New Roman" w:hAnsi="Times New Roman"/>
          <w:b/>
          <w:bCs/>
          <w:i/>
          <w:iCs/>
          <w:sz w:val="20"/>
          <w:szCs w:val="20"/>
        </w:rPr>
        <w:fldChar w:fldCharType="end"/>
      </w:r>
      <w:r>
        <w:rPr>
          <w:rFonts w:ascii="Times New Roman" w:hAnsi="Times New Roman"/>
          <w:b/>
          <w:bCs/>
          <w:i/>
          <w:iCs/>
          <w:sz w:val="20"/>
          <w:szCs w:val="20"/>
        </w:rPr>
        <w:t>:</w:t>
      </w:r>
      <w:r>
        <w:rPr>
          <w:rFonts w:hint="eastAsia" w:ascii="Times New Roman" w:hAnsi="Times New Roman"/>
          <w:b/>
          <w:bCs/>
          <w:i/>
          <w:iCs/>
          <w:sz w:val="20"/>
          <w:szCs w:val="20"/>
        </w:rPr>
        <w:t xml:space="preserve"> For option 1, if spatial relation is absent in the configuration,</w:t>
      </w:r>
      <w:r>
        <w:rPr>
          <w:rFonts w:ascii="Times New Roman" w:hAnsi="Times New Roman"/>
          <w:b/>
          <w:bCs/>
          <w:i/>
          <w:iCs/>
          <w:sz w:val="20"/>
          <w:szCs w:val="20"/>
        </w:rPr>
        <w:t xml:space="preserve"> </w:t>
      </w:r>
      <w:r>
        <w:rPr>
          <w:rFonts w:hint="eastAsia" w:ascii="Times New Roman" w:hAnsi="Times New Roman"/>
          <w:b/>
          <w:bCs/>
          <w:i/>
          <w:iCs/>
          <w:sz w:val="20"/>
          <w:szCs w:val="20"/>
        </w:rPr>
        <w:t xml:space="preserve">support choice 1a, i.e., </w:t>
      </w:r>
      <w:r>
        <w:rPr>
          <w:rFonts w:ascii="Times New Roman" w:hAnsi="Times New Roman"/>
          <w:b/>
          <w:bCs/>
          <w:i/>
          <w:iCs/>
          <w:sz w:val="20"/>
          <w:szCs w:val="20"/>
        </w:rPr>
        <w:t>UE transmits SRS for positioning resources using different spatial domain transmission filter</w:t>
      </w:r>
      <w:r>
        <w:rPr>
          <w:rFonts w:hint="eastAsia" w:ascii="Times New Roman" w:hAnsi="Times New Roman"/>
          <w:b/>
          <w:bCs/>
          <w:i/>
          <w:iCs/>
          <w:sz w:val="20"/>
          <w:szCs w:val="20"/>
        </w:rPr>
        <w:t xml:space="preserve">, </w:t>
      </w:r>
      <w:r>
        <w:rPr>
          <w:rFonts w:hint="eastAsia" w:ascii="Times New Roman" w:hAnsi="Times New Roman"/>
          <w:b/>
          <w:bCs/>
          <w:i/>
          <w:iCs/>
          <w:sz w:val="20"/>
          <w:szCs w:val="20"/>
          <w:lang w:val="en-US" w:eastAsia="zh-CN"/>
        </w:rPr>
        <w:t>and the following spatial relation selection method should be supported:</w:t>
      </w:r>
    </w:p>
    <w:p>
      <w:pPr>
        <w:numPr>
          <w:ilvl w:val="0"/>
          <w:numId w:val="10"/>
        </w:numPr>
        <w:adjustRightInd w:val="0"/>
        <w:snapToGrid w:val="0"/>
        <w:spacing w:after="0" w:line="240" w:lineRule="auto"/>
        <w:ind w:left="420" w:leftChars="0" w:hanging="420" w:firstLineChars="0"/>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Support gNB configuring a cell list for spatial relation selection.</w:t>
      </w:r>
    </w:p>
    <w:p>
      <w:pPr>
        <w:numPr>
          <w:ilvl w:val="0"/>
          <w:numId w:val="10"/>
        </w:numPr>
        <w:adjustRightInd w:val="0"/>
        <w:snapToGrid w:val="0"/>
        <w:spacing w:after="0" w:line="240" w:lineRule="auto"/>
        <w:ind w:left="420" w:leftChars="0" w:hanging="420" w:firstLineChars="0"/>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Support UE selecting spatial relation from respectively different cells.</w:t>
      </w:r>
    </w:p>
    <w:p>
      <w:pPr>
        <w:adjustRightInd w:val="0"/>
        <w:snapToGrid w:val="0"/>
        <w:spacing w:after="0" w:line="240" w:lineRule="auto"/>
        <w:jc w:val="both"/>
        <w:rPr>
          <w:rFonts w:hint="eastAsia" w:ascii="Times New Roman" w:hAnsi="Times New Roman"/>
          <w:b/>
          <w:bCs/>
          <w:i/>
          <w:iCs/>
          <w:sz w:val="20"/>
          <w:szCs w:val="20"/>
          <w:lang w:val="en-US" w:eastAsia="zh-CN"/>
        </w:rPr>
      </w:pPr>
    </w:p>
    <w:bookmarkEnd w:id="29"/>
    <w:p>
      <w:pPr>
        <w:pStyle w:val="5"/>
        <w:spacing w:before="180" w:beforeLines="50" w:after="180" w:afterLines="50"/>
        <w:ind w:firstLine="211"/>
        <w:rPr>
          <w:sz w:val="21"/>
          <w:szCs w:val="21"/>
          <w:lang w:val="en-US"/>
        </w:rPr>
      </w:pPr>
      <w:r>
        <w:rPr>
          <w:rFonts w:hint="eastAsia"/>
          <w:sz w:val="21"/>
          <w:szCs w:val="21"/>
          <w:lang w:val="en-US"/>
        </w:rPr>
        <w:t>Spatial relation is provided in the configuration</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For option 2, if spatial relation is provided </w:t>
      </w:r>
      <w:r>
        <w:rPr>
          <w:rFonts w:ascii="Times New Roman" w:hAnsi="Times New Roman"/>
          <w:sz w:val="20"/>
          <w:szCs w:val="20"/>
        </w:rPr>
        <w:t>in the configuration</w:t>
      </w:r>
      <w:r>
        <w:rPr>
          <w:rFonts w:hint="eastAsia" w:ascii="Times New Roman" w:hAnsi="Times New Roman"/>
          <w:sz w:val="20"/>
          <w:szCs w:val="20"/>
        </w:rPr>
        <w:t>, a spatial relation list can be included in the configuration, and UE can adopt or choose several reference signals from the configured spatial relation list as its spatial relation. Also, gNB can configure a cell list for UE, and UE can choose spatial relation from the signals transmitted by the cell(s) in the cell list. In this way, gNB is aware of the possible spatial relation that UE is adopting/choosing and UE can select relatively suitable spatial relation for positioning SRS transmission. From another perspective, it</w:t>
      </w:r>
      <w:r>
        <w:rPr>
          <w:rFonts w:ascii="Times New Roman" w:hAnsi="Times New Roman"/>
          <w:sz w:val="20"/>
          <w:szCs w:val="20"/>
        </w:rPr>
        <w:t>’</w:t>
      </w:r>
      <w:r>
        <w:rPr>
          <w:rFonts w:hint="eastAsia" w:ascii="Times New Roman" w:hAnsi="Times New Roman"/>
          <w:sz w:val="20"/>
          <w:szCs w:val="20"/>
        </w:rPr>
        <w:t>s also feasible for the last serving gNB to pre-configure the spatial relation for UE.</w:t>
      </w:r>
    </w:p>
    <w:p>
      <w:pPr>
        <w:adjustRightInd w:val="0"/>
        <w:snapToGrid w:val="0"/>
        <w:spacing w:after="0" w:line="240" w:lineRule="auto"/>
        <w:jc w:val="both"/>
        <w:rPr>
          <w:rFonts w:ascii="Times New Roman" w:hAnsi="Times New Roman"/>
          <w:b/>
          <w:bCs/>
          <w:i/>
          <w:iCs/>
          <w:sz w:val="20"/>
          <w:szCs w:val="20"/>
        </w:rPr>
      </w:pPr>
      <w:bookmarkStart w:id="30" w:name="_Ref12685"/>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7</w:t>
      </w:r>
      <w:r>
        <w:rPr>
          <w:rFonts w:ascii="Times New Roman" w:hAnsi="Times New Roman"/>
          <w:b/>
          <w:bCs/>
          <w:i/>
          <w:iCs/>
          <w:sz w:val="20"/>
          <w:szCs w:val="20"/>
        </w:rPr>
        <w:fldChar w:fldCharType="end"/>
      </w:r>
      <w:r>
        <w:rPr>
          <w:rFonts w:ascii="Times New Roman" w:hAnsi="Times New Roman"/>
          <w:b/>
          <w:bCs/>
          <w:i/>
          <w:iCs/>
          <w:sz w:val="20"/>
          <w:szCs w:val="20"/>
        </w:rPr>
        <w:t xml:space="preserve">: For option </w:t>
      </w:r>
      <w:r>
        <w:rPr>
          <w:rFonts w:hint="eastAsia" w:ascii="Times New Roman" w:hAnsi="Times New Roman"/>
          <w:b/>
          <w:bCs/>
          <w:i/>
          <w:iCs/>
          <w:sz w:val="20"/>
          <w:szCs w:val="20"/>
        </w:rPr>
        <w:t>2</w:t>
      </w:r>
      <w:r>
        <w:rPr>
          <w:rFonts w:ascii="Times New Roman" w:hAnsi="Times New Roman"/>
          <w:b/>
          <w:bCs/>
          <w:i/>
          <w:iCs/>
          <w:sz w:val="20"/>
          <w:szCs w:val="20"/>
        </w:rPr>
        <w:t xml:space="preserve">, if </w:t>
      </w:r>
      <w:r>
        <w:rPr>
          <w:rFonts w:hint="eastAsia" w:ascii="Times New Roman" w:hAnsi="Times New Roman"/>
          <w:b/>
          <w:bCs/>
          <w:i/>
          <w:iCs/>
          <w:sz w:val="20"/>
          <w:szCs w:val="20"/>
        </w:rPr>
        <w:t>spatial relation</w:t>
      </w:r>
      <w:r>
        <w:rPr>
          <w:rFonts w:ascii="Times New Roman" w:hAnsi="Times New Roman"/>
          <w:b/>
          <w:bCs/>
          <w:i/>
          <w:iCs/>
          <w:sz w:val="20"/>
          <w:szCs w:val="20"/>
        </w:rPr>
        <w:t xml:space="preserve"> is absent in the configuration, the following configuration can be </w:t>
      </w:r>
      <w:r>
        <w:rPr>
          <w:rFonts w:hint="eastAsia" w:ascii="Times New Roman" w:hAnsi="Times New Roman"/>
          <w:b/>
          <w:bCs/>
          <w:i/>
          <w:iCs/>
          <w:sz w:val="20"/>
          <w:szCs w:val="20"/>
        </w:rPr>
        <w:t>considered</w:t>
      </w:r>
      <w:r>
        <w:rPr>
          <w:rFonts w:ascii="Times New Roman" w:hAnsi="Times New Roman"/>
          <w:b/>
          <w:bCs/>
          <w:i/>
          <w:iCs/>
          <w:sz w:val="20"/>
          <w:szCs w:val="20"/>
        </w:rPr>
        <w:t>:</w:t>
      </w:r>
      <w:bookmarkEnd w:id="30"/>
    </w:p>
    <w:p>
      <w:pPr>
        <w:numPr>
          <w:ilvl w:val="0"/>
          <w:numId w:val="11"/>
        </w:numPr>
        <w:adjustRightInd w:val="0"/>
        <w:snapToGrid w:val="0"/>
        <w:spacing w:after="0" w:line="240" w:lineRule="auto"/>
        <w:jc w:val="both"/>
        <w:rPr>
          <w:rFonts w:ascii="Times New Roman" w:hAnsi="Times New Roman"/>
          <w:b/>
          <w:bCs/>
          <w:i/>
          <w:iCs/>
          <w:sz w:val="20"/>
          <w:szCs w:val="20"/>
        </w:rPr>
      </w:pPr>
      <w:r>
        <w:rPr>
          <w:rFonts w:ascii="Times New Roman" w:hAnsi="Times New Roman"/>
          <w:b/>
          <w:bCs/>
          <w:i/>
          <w:iCs/>
          <w:sz w:val="20"/>
          <w:szCs w:val="20"/>
        </w:rPr>
        <w:t xml:space="preserve">gNB configures a </w:t>
      </w:r>
      <w:r>
        <w:rPr>
          <w:rFonts w:hint="eastAsia" w:ascii="Times New Roman" w:hAnsi="Times New Roman"/>
          <w:b/>
          <w:bCs/>
          <w:i/>
          <w:iCs/>
          <w:sz w:val="20"/>
          <w:szCs w:val="20"/>
        </w:rPr>
        <w:t xml:space="preserve">spatial relation </w:t>
      </w:r>
      <w:r>
        <w:rPr>
          <w:rFonts w:ascii="Times New Roman" w:hAnsi="Times New Roman"/>
          <w:b/>
          <w:bCs/>
          <w:i/>
          <w:iCs/>
          <w:sz w:val="20"/>
          <w:szCs w:val="20"/>
        </w:rPr>
        <w:t xml:space="preserve">list or cell list for UE, UE can adopt or choose </w:t>
      </w:r>
      <w:r>
        <w:rPr>
          <w:rFonts w:hint="eastAsia" w:ascii="Times New Roman" w:hAnsi="Times New Roman"/>
          <w:b/>
          <w:bCs/>
          <w:i/>
          <w:iCs/>
          <w:sz w:val="20"/>
          <w:szCs w:val="20"/>
        </w:rPr>
        <w:t>spatial relation</w:t>
      </w:r>
      <w:r>
        <w:rPr>
          <w:rFonts w:ascii="Times New Roman" w:hAnsi="Times New Roman"/>
          <w:b/>
          <w:bCs/>
          <w:i/>
          <w:iCs/>
          <w:sz w:val="20"/>
          <w:szCs w:val="20"/>
        </w:rPr>
        <w:t xml:space="preserve"> from the configured list.</w:t>
      </w:r>
    </w:p>
    <w:p>
      <w:pPr>
        <w:numPr>
          <w:ilvl w:val="0"/>
          <w:numId w:val="11"/>
        </w:numPr>
        <w:adjustRightInd w:val="0"/>
        <w:snapToGrid w:val="0"/>
        <w:spacing w:after="0" w:line="240" w:lineRule="auto"/>
        <w:jc w:val="both"/>
        <w:rPr>
          <w:rFonts w:ascii="Times New Roman" w:hAnsi="Times New Roman"/>
          <w:b/>
          <w:bCs/>
          <w:i/>
          <w:iCs/>
          <w:sz w:val="20"/>
          <w:szCs w:val="20"/>
        </w:rPr>
      </w:pPr>
      <w:r>
        <w:rPr>
          <w:rFonts w:ascii="Times New Roman" w:hAnsi="Times New Roman"/>
          <w:b/>
          <w:bCs/>
          <w:i/>
          <w:iCs/>
          <w:sz w:val="20"/>
          <w:szCs w:val="20"/>
        </w:rPr>
        <w:t xml:space="preserve">The last serving cell gNB configures multiple configurations of </w:t>
      </w:r>
      <w:r>
        <w:rPr>
          <w:rFonts w:hint="eastAsia" w:ascii="Times New Roman" w:hAnsi="Times New Roman"/>
          <w:b/>
          <w:bCs/>
          <w:i/>
          <w:iCs/>
          <w:sz w:val="20"/>
          <w:szCs w:val="20"/>
        </w:rPr>
        <w:t>spatial relation</w:t>
      </w:r>
      <w:r>
        <w:rPr>
          <w:rFonts w:ascii="Times New Roman" w:hAnsi="Times New Roman"/>
          <w:b/>
          <w:bCs/>
          <w:i/>
          <w:iCs/>
          <w:sz w:val="20"/>
          <w:szCs w:val="20"/>
        </w:rPr>
        <w:t>, where each configuration is for one cell in the valid area. And UE can automatically use the corresponding when UE camps on a new cell.</w:t>
      </w:r>
    </w:p>
    <w:p>
      <w:pPr>
        <w:pStyle w:val="5"/>
        <w:spacing w:before="180" w:beforeLines="50" w:after="180" w:afterLines="50"/>
        <w:ind w:firstLine="211"/>
        <w:rPr>
          <w:sz w:val="21"/>
          <w:szCs w:val="21"/>
          <w:lang w:val="en-US"/>
        </w:rPr>
      </w:pPr>
      <w:r>
        <w:rPr>
          <w:rFonts w:hint="eastAsia"/>
          <w:sz w:val="21"/>
          <w:szCs w:val="21"/>
          <w:lang w:val="en-US"/>
        </w:rPr>
        <w:t>Validity criteria of spatial relation</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the last FFS mentioned in the agreement, the validity criteria of spatial relation and UE behavior should be considered if it determines that the validity criteria of spatial relation is not met. In our opinion, gNB can configure the RSRP threshold for the spatial relation validity criteria. If the measured RSRP of the reference signals from the list is lower than the threshold, UE should regard this spatial relation as invalid. A request for spatial relation configuration update is required. In this way, the spatial relation can be updated in time. Hence, we have the following proposal:</w:t>
      </w:r>
    </w:p>
    <w:p>
      <w:pPr>
        <w:adjustRightInd w:val="0"/>
        <w:snapToGrid w:val="0"/>
        <w:spacing w:after="0" w:line="240" w:lineRule="auto"/>
        <w:jc w:val="both"/>
        <w:rPr>
          <w:rFonts w:ascii="Times New Roman" w:hAnsi="Times New Roman"/>
          <w:b/>
          <w:bCs/>
          <w:i/>
          <w:iCs/>
          <w:sz w:val="20"/>
          <w:szCs w:val="20"/>
        </w:rPr>
      </w:pPr>
      <w:bookmarkStart w:id="31" w:name="_Ref12692"/>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8</w:t>
      </w:r>
      <w:r>
        <w:rPr>
          <w:rFonts w:ascii="Times New Roman" w:hAnsi="Times New Roman"/>
          <w:b/>
          <w:bCs/>
          <w:i/>
          <w:iCs/>
          <w:sz w:val="20"/>
          <w:szCs w:val="20"/>
        </w:rPr>
        <w:fldChar w:fldCharType="end"/>
      </w:r>
      <w:r>
        <w:rPr>
          <w:rFonts w:ascii="Times New Roman" w:hAnsi="Times New Roman"/>
          <w:b/>
          <w:bCs/>
          <w:i/>
          <w:iCs/>
          <w:sz w:val="20"/>
          <w:szCs w:val="20"/>
        </w:rPr>
        <w:t>:</w:t>
      </w:r>
      <w:r>
        <w:rPr>
          <w:rFonts w:hint="eastAsia" w:ascii="Times New Roman" w:hAnsi="Times New Roman"/>
          <w:b/>
          <w:bCs/>
          <w:i/>
          <w:iCs/>
          <w:sz w:val="20"/>
          <w:szCs w:val="20"/>
        </w:rPr>
        <w:t xml:space="preserve"> Support gNB configuring RSRP threshold for the validity criteria of spatial relation. UE will regard the spatial relation as invalid if the validity criteria is not met.</w:t>
      </w:r>
      <w:bookmarkEnd w:id="31"/>
    </w:p>
    <w:p>
      <w:pPr>
        <w:adjustRightInd w:val="0"/>
        <w:snapToGrid w:val="0"/>
        <w:spacing w:after="0" w:line="240" w:lineRule="auto"/>
        <w:jc w:val="both"/>
        <w:rPr>
          <w:rFonts w:ascii="Times New Roman" w:hAnsi="Times New Roman"/>
          <w:b/>
          <w:bCs/>
          <w:i/>
          <w:iCs/>
          <w:sz w:val="20"/>
          <w:szCs w:val="20"/>
        </w:rPr>
      </w:pPr>
      <w:r>
        <w:rPr>
          <w:rFonts w:hint="eastAsia" w:ascii="Times New Roman" w:hAnsi="Times New Roman"/>
          <w:b/>
          <w:bCs/>
          <w:i/>
          <w:iCs/>
          <w:sz w:val="20"/>
          <w:szCs w:val="20"/>
        </w:rPr>
        <w:t>Note: gNB may configure the same RSRP threshold for both pathloss RS and spatial relation.</w:t>
      </w:r>
    </w:p>
    <w:p>
      <w:pPr>
        <w:pStyle w:val="4"/>
        <w:spacing w:after="140"/>
        <w:ind w:firstLine="241"/>
      </w:pPr>
      <w:r>
        <w:t>Other parameters</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Based on the description above, as shown in </w:t>
      </w:r>
      <w:r>
        <w:rPr>
          <w:rFonts w:ascii="Times New Roman" w:hAnsi="Times New Roman"/>
          <w:sz w:val="20"/>
          <w:szCs w:val="20"/>
        </w:rPr>
        <w:fldChar w:fldCharType="begin"/>
      </w:r>
      <w:r>
        <w:rPr>
          <w:rFonts w:ascii="Times New Roman" w:hAnsi="Times New Roman"/>
          <w:sz w:val="20"/>
          <w:szCs w:val="20"/>
        </w:rPr>
        <w:instrText xml:space="preserve"> REF _Ref19369 \h </w:instrText>
      </w:r>
      <w:r>
        <w:rPr>
          <w:rFonts w:ascii="Times New Roman" w:hAnsi="Times New Roman"/>
          <w:sz w:val="20"/>
          <w:szCs w:val="20"/>
        </w:rPr>
        <w:fldChar w:fldCharType="separate"/>
      </w:r>
      <w:r>
        <w:rPr>
          <w:rFonts w:ascii="Times New Roman" w:hAnsi="Times New Roman"/>
          <w:sz w:val="20"/>
          <w:szCs w:val="20"/>
        </w:rPr>
        <w:t>Figure 9</w:t>
      </w:r>
      <w:r>
        <w:rPr>
          <w:rFonts w:ascii="Times New Roman" w:hAnsi="Times New Roman"/>
          <w:sz w:val="20"/>
          <w:szCs w:val="20"/>
        </w:rPr>
        <w:fldChar w:fldCharType="end"/>
      </w:r>
      <w:r>
        <w:rPr>
          <w:rFonts w:ascii="Times New Roman" w:hAnsi="Times New Roman"/>
          <w:sz w:val="20"/>
          <w:szCs w:val="20"/>
        </w:rPr>
        <w:t xml:space="preserve">, there are multiple parameters cannot be adopted in multiple cells for SRS transmission, include </w:t>
      </w:r>
      <w:r>
        <w:rPr>
          <w:rFonts w:ascii="Times New Roman" w:hAnsi="Times New Roman"/>
          <w:i/>
          <w:iCs/>
          <w:sz w:val="20"/>
          <w:szCs w:val="20"/>
        </w:rPr>
        <w:t>p0</w:t>
      </w:r>
      <w:r>
        <w:rPr>
          <w:rFonts w:ascii="Times New Roman" w:hAnsi="Times New Roman"/>
          <w:sz w:val="20"/>
          <w:szCs w:val="20"/>
        </w:rPr>
        <w:t xml:space="preserve">, </w:t>
      </w:r>
      <w:r>
        <w:rPr>
          <w:rFonts w:ascii="Times New Roman" w:hAnsi="Times New Roman"/>
          <w:i/>
          <w:iCs/>
          <w:sz w:val="20"/>
          <w:szCs w:val="20"/>
        </w:rPr>
        <w:t>alpha</w:t>
      </w:r>
      <w:r>
        <w:rPr>
          <w:rFonts w:ascii="Times New Roman" w:hAnsi="Times New Roman"/>
          <w:sz w:val="20"/>
          <w:szCs w:val="20"/>
        </w:rPr>
        <w:t xml:space="preserve">, pathloss reference and spatial relation. Other parameters (as specified in </w:t>
      </w:r>
      <w:r>
        <w:rPr>
          <w:rFonts w:ascii="Times New Roman" w:hAnsi="Times New Roman"/>
          <w:i/>
          <w:iCs/>
          <w:sz w:val="20"/>
          <w:szCs w:val="20"/>
        </w:rPr>
        <w:t>common parameters</w:t>
      </w:r>
      <w:r>
        <w:rPr>
          <w:rFonts w:ascii="Times New Roman" w:hAnsi="Times New Roman"/>
          <w:sz w:val="20"/>
          <w:szCs w:val="20"/>
        </w:rPr>
        <w:t xml:space="preserve">) can be shared across multiple cells within the validity area. </w:t>
      </w:r>
    </w:p>
    <w:p>
      <w:pPr>
        <w:adjustRightInd w:val="0"/>
        <w:snapToGrid w:val="0"/>
        <w:spacing w:before="180" w:beforeLines="50" w:after="180" w:afterLines="50" w:line="240" w:lineRule="auto"/>
        <w:jc w:val="center"/>
        <w:rPr>
          <w:rFonts w:ascii="Times New Roman" w:hAnsi="Times New Roman"/>
        </w:rPr>
      </w:pPr>
      <w:r>
        <w:rPr>
          <w:rFonts w:ascii="Times New Roman" w:hAnsi="Times New Roman"/>
        </w:rPr>
        <w:drawing>
          <wp:inline distT="0" distB="0" distL="114300" distR="114300">
            <wp:extent cx="4559300" cy="2108835"/>
            <wp:effectExtent l="0" t="0" r="1270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4559300" cy="2108835"/>
                    </a:xfrm>
                    <a:prstGeom prst="rect">
                      <a:avLst/>
                    </a:prstGeom>
                    <a:noFill/>
                    <a:ln>
                      <a:noFill/>
                    </a:ln>
                  </pic:spPr>
                </pic:pic>
              </a:graphicData>
            </a:graphic>
          </wp:inline>
        </w:drawing>
      </w:r>
    </w:p>
    <w:p>
      <w:pPr>
        <w:pStyle w:val="15"/>
        <w:adjustRightInd w:val="0"/>
        <w:snapToGrid w:val="0"/>
        <w:spacing w:before="180" w:beforeLines="50" w:after="180" w:afterLines="50"/>
        <w:jc w:val="center"/>
        <w:rPr>
          <w:b w:val="0"/>
          <w:bCs w:val="0"/>
          <w:lang w:val="en-US" w:eastAsia="zh-CN"/>
        </w:rPr>
      </w:pPr>
      <w:bookmarkStart w:id="32" w:name="_Ref19369"/>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9</w:t>
      </w:r>
      <w:r>
        <w:rPr>
          <w:b w:val="0"/>
          <w:bCs w:val="0"/>
        </w:rPr>
        <w:fldChar w:fldCharType="end"/>
      </w:r>
      <w:bookmarkEnd w:id="32"/>
      <w:r>
        <w:rPr>
          <w:b w:val="0"/>
          <w:bCs w:val="0"/>
          <w:lang w:val="en-US" w:eastAsia="zh-CN"/>
        </w:rPr>
        <w:t xml:space="preserve"> SRS configuration parameters feature</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the common parameters in SRS configuration, the following agreement was agreed in the last meeting:</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pStyle w:val="94"/>
              <w:snapToGrid w:val="0"/>
              <w:spacing w:afterLines="50" w:line="240" w:lineRule="auto"/>
              <w:ind w:left="0"/>
              <w:jc w:val="both"/>
              <w:rPr>
                <w:rFonts w:eastAsia="等线"/>
                <w:sz w:val="20"/>
                <w:lang w:eastAsia="zh-CN"/>
              </w:rPr>
            </w:pPr>
            <w:r>
              <w:rPr>
                <w:rFonts w:eastAsia="等线"/>
                <w:sz w:val="20"/>
                <w:lang w:eastAsia="zh-CN"/>
              </w:rPr>
              <w:t>For SRS for positioning configuration in multiple cells for a UE in RRC_INACTIVE state, at least the following parameters in SRS for positioning configuration are commonly configured across cells within the validity area:</w:t>
            </w:r>
          </w:p>
          <w:p>
            <w:pPr>
              <w:numPr>
                <w:ilvl w:val="0"/>
                <w:numId w:val="4"/>
              </w:numPr>
              <w:adjustRightInd w:val="0"/>
              <w:snapToGrid w:val="0"/>
              <w:spacing w:after="180" w:afterLines="50" w:line="240" w:lineRule="auto"/>
              <w:ind w:hanging="363"/>
              <w:contextualSpacing/>
              <w:jc w:val="both"/>
              <w:rPr>
                <w:rFonts w:ascii="Times New Roman" w:hAnsi="Times New Roman" w:eastAsia="宋体"/>
                <w:sz w:val="20"/>
                <w:szCs w:val="20"/>
              </w:rPr>
            </w:pPr>
            <w:r>
              <w:rPr>
                <w:rFonts w:ascii="Times New Roman" w:hAnsi="Times New Roman" w:eastAsia="宋体"/>
                <w:sz w:val="20"/>
                <w:szCs w:val="20"/>
              </w:rPr>
              <w:t>srs-PosConfig</w:t>
            </w:r>
          </w:p>
          <w:p>
            <w:pPr>
              <w:numPr>
                <w:ilvl w:val="1"/>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SRS-PosResourceSet</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srs-PosResourceSetId</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srs-PosResourceIdList</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resourceType</w:t>
            </w:r>
          </w:p>
          <w:p>
            <w:pPr>
              <w:numPr>
                <w:ilvl w:val="1"/>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SRS-PosResource</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srs-PosResourceId</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transmissionComb</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resourceMapping</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freqDomainShift</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freqHopping</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groupOrSequenceHopping-r16</w:t>
            </w:r>
          </w:p>
          <w:p>
            <w:pPr>
              <w:numPr>
                <w:ilvl w:val="2"/>
                <w:numId w:val="4"/>
              </w:numPr>
              <w:adjustRightInd w:val="0"/>
              <w:snapToGrid w:val="0"/>
              <w:spacing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resourceType</w:t>
            </w:r>
          </w:p>
          <w:p>
            <w:pPr>
              <w:numPr>
                <w:ilvl w:val="2"/>
                <w:numId w:val="4"/>
              </w:numPr>
              <w:adjustRightInd w:val="0"/>
              <w:snapToGrid w:val="0"/>
              <w:spacing w:after="180" w:afterLines="50" w:line="240" w:lineRule="auto"/>
              <w:contextualSpacing/>
              <w:jc w:val="both"/>
              <w:rPr>
                <w:rFonts w:ascii="Arial" w:hAnsi="Arial" w:cs="Arial"/>
                <w:sz w:val="20"/>
                <w:szCs w:val="20"/>
                <w:lang w:eastAsia="ko-KR"/>
              </w:rPr>
            </w:pPr>
            <w:r>
              <w:rPr>
                <w:rFonts w:ascii="Times New Roman" w:hAnsi="Times New Roman" w:eastAsia="宋体"/>
                <w:sz w:val="20"/>
                <w:szCs w:val="20"/>
              </w:rPr>
              <w:t>FFS: whether sequenceId is configured commonly across cells or per cell</w:t>
            </w:r>
          </w:p>
        </w:tc>
      </w:tr>
    </w:tbl>
    <w:p>
      <w:pPr>
        <w:adjustRightInd w:val="0"/>
        <w:snapToGrid w:val="0"/>
        <w:spacing w:before="180" w:beforeLines="50" w:after="180" w:afterLines="50" w:line="240" w:lineRule="auto"/>
        <w:jc w:val="both"/>
        <w:rPr>
          <w:rFonts w:ascii="Times New Roman" w:hAnsi="Times New Roman"/>
          <w:sz w:val="20"/>
          <w:szCs w:val="20"/>
        </w:rPr>
      </w:pPr>
      <w:bookmarkStart w:id="33" w:name="_Ref8668"/>
      <w:r>
        <w:rPr>
          <w:rFonts w:hint="eastAsia" w:ascii="Times New Roman" w:hAnsi="Times New Roman"/>
          <w:sz w:val="20"/>
          <w:szCs w:val="20"/>
        </w:rPr>
        <w:t xml:space="preserve">The difference between </w:t>
      </w:r>
      <w:r>
        <w:rPr>
          <w:rFonts w:hint="eastAsia" w:ascii="Times New Roman" w:hAnsi="Times New Roman"/>
          <w:sz w:val="20"/>
          <w:szCs w:val="20"/>
        </w:rPr>
        <w:fldChar w:fldCharType="begin"/>
      </w:r>
      <w:r>
        <w:rPr>
          <w:rFonts w:hint="eastAsia" w:ascii="Times New Roman" w:hAnsi="Times New Roman"/>
          <w:sz w:val="20"/>
          <w:szCs w:val="20"/>
        </w:rPr>
        <w:instrText xml:space="preserve"> REF _Ref19369 \h </w:instrText>
      </w:r>
      <w:r>
        <w:rPr>
          <w:rFonts w:hint="eastAsia" w:ascii="Times New Roman" w:hAnsi="Times New Roman"/>
          <w:sz w:val="20"/>
          <w:szCs w:val="20"/>
        </w:rPr>
        <w:fldChar w:fldCharType="separate"/>
      </w:r>
      <w:r>
        <w:rPr>
          <w:rFonts w:hint="eastAsia" w:ascii="Times New Roman" w:hAnsi="Times New Roman"/>
          <w:sz w:val="20"/>
          <w:szCs w:val="20"/>
        </w:rPr>
        <w:t>Figure 9</w:t>
      </w:r>
      <w:r>
        <w:rPr>
          <w:rFonts w:hint="eastAsia" w:ascii="Times New Roman" w:hAnsi="Times New Roman"/>
          <w:sz w:val="20"/>
          <w:szCs w:val="20"/>
        </w:rPr>
        <w:fldChar w:fldCharType="end"/>
      </w:r>
      <w:r>
        <w:rPr>
          <w:rFonts w:hint="eastAsia" w:ascii="Times New Roman" w:hAnsi="Times New Roman"/>
          <w:sz w:val="20"/>
          <w:szCs w:val="20"/>
        </w:rPr>
        <w:t xml:space="preserve"> and the above agreement mainly concentrate on whether </w:t>
      </w:r>
      <w:r>
        <w:rPr>
          <w:rFonts w:hint="eastAsia" w:ascii="Times New Roman" w:hAnsi="Times New Roman"/>
          <w:i/>
          <w:sz w:val="20"/>
          <w:szCs w:val="20"/>
        </w:rPr>
        <w:t>sequenceId</w:t>
      </w:r>
      <w:r>
        <w:rPr>
          <w:rFonts w:hint="eastAsia" w:ascii="Times New Roman" w:hAnsi="Times New Roman"/>
          <w:sz w:val="20"/>
          <w:szCs w:val="20"/>
        </w:rPr>
        <w:t xml:space="preserve"> can be configured commonly in multiple cells or not. In current TS 38.211, it is mentioned that the sequence ID is used to initialized pseudo random group and sequence hopping, which is semi-statically configured by higher layer parameters. Therefore, it is feasible for different UEs to adopt the same sequence ID. On the contrary, if sequenceId is configured per cell, NW has to b</w:t>
      </w:r>
      <w:r>
        <w:rPr>
          <w:rFonts w:ascii="Times New Roman" w:hAnsi="Times New Roman"/>
          <w:sz w:val="20"/>
          <w:szCs w:val="20"/>
        </w:rPr>
        <w:t>l</w:t>
      </w:r>
      <w:r>
        <w:rPr>
          <w:rFonts w:hint="eastAsia" w:ascii="Times New Roman" w:hAnsi="Times New Roman"/>
          <w:sz w:val="20"/>
          <w:szCs w:val="20"/>
        </w:rPr>
        <w:t xml:space="preserve">indly monitor multiple SRS, and gNBs have to decode the received SRS with different </w:t>
      </w:r>
      <w:r>
        <w:rPr>
          <w:rFonts w:hint="eastAsia" w:ascii="Times New Roman" w:hAnsi="Times New Roman"/>
          <w:i/>
          <w:sz w:val="20"/>
          <w:szCs w:val="20"/>
        </w:rPr>
        <w:t>sequenceId</w:t>
      </w:r>
      <w:r>
        <w:rPr>
          <w:rFonts w:hint="eastAsia" w:ascii="Times New Roman" w:hAnsi="Times New Roman"/>
          <w:sz w:val="20"/>
          <w:szCs w:val="20"/>
        </w:rPr>
        <w:t xml:space="preserve">. Therefore, we have the following proposal:  </w:t>
      </w:r>
    </w:p>
    <w:p>
      <w:pPr>
        <w:rPr>
          <w:rFonts w:ascii="Times New Roman" w:hAnsi="Times New Roman"/>
          <w:b/>
          <w:bCs/>
          <w:i/>
          <w:iCs/>
          <w:sz w:val="24"/>
          <w:szCs w:val="24"/>
        </w:rPr>
      </w:pPr>
      <w:bookmarkStart w:id="34" w:name="_Ref12695"/>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9</w:t>
      </w:r>
      <w:r>
        <w:rPr>
          <w:rFonts w:ascii="Times New Roman" w:hAnsi="Times New Roman"/>
          <w:b/>
          <w:bCs/>
          <w:i/>
          <w:iCs/>
          <w:sz w:val="20"/>
          <w:szCs w:val="20"/>
        </w:rPr>
        <w:fldChar w:fldCharType="end"/>
      </w:r>
      <w:r>
        <w:rPr>
          <w:rFonts w:ascii="Times New Roman" w:hAnsi="Times New Roman"/>
          <w:b/>
          <w:bCs/>
          <w:i/>
          <w:iCs/>
          <w:sz w:val="20"/>
          <w:szCs w:val="20"/>
        </w:rPr>
        <w:t>:</w:t>
      </w:r>
      <w:r>
        <w:rPr>
          <w:rFonts w:hint="eastAsia" w:ascii="Times New Roman" w:hAnsi="Times New Roman"/>
          <w:b/>
          <w:bCs/>
          <w:i/>
          <w:iCs/>
          <w:sz w:val="20"/>
          <w:szCs w:val="20"/>
        </w:rPr>
        <w:t xml:space="preserve"> Support gNB configuring sequenceId commonly across cells within the validity area.</w:t>
      </w:r>
      <w:bookmarkEnd w:id="34"/>
    </w:p>
    <w:p>
      <w:pPr>
        <w:pStyle w:val="3"/>
        <w:snapToGrid w:val="0"/>
        <w:spacing w:after="120" w:line="240" w:lineRule="auto"/>
        <w:ind w:left="573" w:hanging="573"/>
        <w:jc w:val="both"/>
        <w:rPr>
          <w:sz w:val="24"/>
          <w:szCs w:val="24"/>
          <w:lang w:val="en-US"/>
        </w:rPr>
      </w:pPr>
      <w:r>
        <w:rPr>
          <w:sz w:val="24"/>
          <w:szCs w:val="24"/>
          <w:lang w:val="en-US"/>
        </w:rPr>
        <w:t>SRS pre-configuration</w:t>
      </w:r>
      <w:bookmarkEnd w:id="33"/>
      <w:r>
        <w:rPr>
          <w:rFonts w:hint="eastAsia"/>
          <w:sz w:val="24"/>
          <w:szCs w:val="24"/>
          <w:lang w:val="en-US"/>
        </w:rPr>
        <w:t xml:space="preserve"> in multi-cells</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UE has to enter RRC_CONNECTED state when receiving SRS configuration. To avoid frequent state transition, p</w:t>
      </w:r>
      <w:r>
        <w:rPr>
          <w:rFonts w:ascii="Times New Roman" w:hAnsi="Times New Roman"/>
          <w:sz w:val="20"/>
          <w:szCs w:val="20"/>
          <w:lang w:eastAsia="ko-KR"/>
        </w:rPr>
        <w:t>re-configuration of one or multiple SRS for positioning configurations</w:t>
      </w:r>
      <w:r>
        <w:rPr>
          <w:rFonts w:ascii="Times New Roman" w:hAnsi="Times New Roman"/>
          <w:sz w:val="20"/>
          <w:szCs w:val="20"/>
        </w:rPr>
        <w:t xml:space="preserve"> is proposed for power saving purpose. In SRS pre-configuration procedure, UE should be configured with an SRS pre-configuration list specifying the explicit SRS configuration for multiple cells. When camps on a new cell, UE will adopt the SRS configuration of new cell and transmits corresponding SRS. In this way, UE has to enter RRC_CONNECTED state only when move</w:t>
      </w:r>
      <w:r>
        <w:rPr>
          <w:rFonts w:hint="eastAsia" w:ascii="Times New Roman" w:hAnsi="Times New Roman"/>
          <w:sz w:val="20"/>
          <w:szCs w:val="20"/>
        </w:rPr>
        <w:t>s out of the configured cells</w:t>
      </w:r>
      <w:r>
        <w:rPr>
          <w:rFonts w:ascii="Times New Roman" w:hAnsi="Times New Roman"/>
          <w:sz w:val="20"/>
          <w:szCs w:val="20"/>
        </w:rPr>
        <w:t>.</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As shown in </w:t>
      </w:r>
      <w:r>
        <w:rPr>
          <w:rFonts w:ascii="Times New Roman" w:hAnsi="Times New Roman"/>
          <w:sz w:val="20"/>
          <w:szCs w:val="20"/>
        </w:rPr>
        <w:fldChar w:fldCharType="begin"/>
      </w:r>
      <w:r>
        <w:rPr>
          <w:rFonts w:ascii="Times New Roman" w:hAnsi="Times New Roman"/>
          <w:sz w:val="20"/>
          <w:szCs w:val="20"/>
        </w:rPr>
        <w:instrText xml:space="preserve"> REF _Ref16460 \h </w:instrText>
      </w:r>
      <w:r>
        <w:rPr>
          <w:rFonts w:ascii="Times New Roman" w:hAnsi="Times New Roman"/>
          <w:sz w:val="20"/>
          <w:szCs w:val="20"/>
        </w:rPr>
        <w:fldChar w:fldCharType="separate"/>
      </w:r>
      <w:r>
        <w:rPr>
          <w:rFonts w:ascii="Times New Roman" w:hAnsi="Times New Roman"/>
          <w:sz w:val="20"/>
          <w:szCs w:val="20"/>
        </w:rPr>
        <w:t>Figure 10</w:t>
      </w:r>
      <w:r>
        <w:rPr>
          <w:rFonts w:ascii="Times New Roman" w:hAnsi="Times New Roman"/>
          <w:sz w:val="20"/>
          <w:szCs w:val="20"/>
        </w:rPr>
        <w:fldChar w:fldCharType="end"/>
      </w:r>
      <w:r>
        <w:rPr>
          <w:rFonts w:ascii="Times New Roman" w:hAnsi="Times New Roman"/>
          <w:sz w:val="20"/>
          <w:szCs w:val="20"/>
        </w:rPr>
        <w:t xml:space="preserve">, suppose that a </w:t>
      </w:r>
      <w:r>
        <w:rPr>
          <w:rFonts w:hint="eastAsia" w:ascii="Times New Roman" w:hAnsi="Times New Roman"/>
          <w:sz w:val="20"/>
          <w:szCs w:val="20"/>
        </w:rPr>
        <w:t xml:space="preserve">gNB pre-configured a set of SRS configuration for </w:t>
      </w:r>
      <w:r>
        <w:rPr>
          <w:rFonts w:ascii="Times New Roman" w:hAnsi="Times New Roman"/>
          <w:sz w:val="20"/>
          <w:szCs w:val="20"/>
        </w:rPr>
        <w:t xml:space="preserve">6 cells, and UE is within the coverage of cell 1 in the initial state. To transmit SRS, UE will enter RRC_CONNECTED state in cell 1 to get the SRS configuration parameters within the validity area. And UE will transmit SRS using SRS pre-configuration parameters of cell 1. When it moves to a new camp cell, UE will transmit SRS using the SRS pre-configuration parameters in cell 2. And if UE moves to the third cell, i.e., cell 5, SRS is transmitted with pre-configured parameters using cell 5 configuration. In these cell re-selection procedures, UE can transmit SRS avoiding enter RRC_CONNECTED state. </w:t>
      </w:r>
    </w:p>
    <w:p>
      <w:pPr>
        <w:adjustRightInd w:val="0"/>
        <w:snapToGrid w:val="0"/>
        <w:spacing w:before="180" w:beforeLines="50" w:after="180" w:afterLines="50" w:line="240" w:lineRule="auto"/>
        <w:jc w:val="center"/>
        <w:rPr>
          <w:rFonts w:ascii="Times New Roman" w:hAnsi="Times New Roman"/>
        </w:rPr>
      </w:pPr>
      <w:r>
        <w:drawing>
          <wp:inline distT="0" distB="0" distL="114300" distR="114300">
            <wp:extent cx="4985385" cy="2897505"/>
            <wp:effectExtent l="0" t="0" r="5715" b="1714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7"/>
                    <a:stretch>
                      <a:fillRect/>
                    </a:stretch>
                  </pic:blipFill>
                  <pic:spPr>
                    <a:xfrm>
                      <a:off x="0" y="0"/>
                      <a:ext cx="4985385" cy="2897505"/>
                    </a:xfrm>
                    <a:prstGeom prst="rect">
                      <a:avLst/>
                    </a:prstGeom>
                    <a:noFill/>
                    <a:ln>
                      <a:noFill/>
                    </a:ln>
                  </pic:spPr>
                </pic:pic>
              </a:graphicData>
            </a:graphic>
          </wp:inline>
        </w:drawing>
      </w:r>
    </w:p>
    <w:p>
      <w:pPr>
        <w:pStyle w:val="15"/>
        <w:adjustRightInd w:val="0"/>
        <w:snapToGrid w:val="0"/>
        <w:spacing w:before="180" w:beforeLines="50" w:after="180" w:afterLines="50"/>
        <w:jc w:val="center"/>
        <w:rPr>
          <w:b w:val="0"/>
          <w:bCs w:val="0"/>
          <w:lang w:val="en-US" w:eastAsia="zh-CN"/>
        </w:rPr>
      </w:pPr>
      <w:bookmarkStart w:id="35" w:name="_Ref16460"/>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10</w:t>
      </w:r>
      <w:r>
        <w:rPr>
          <w:b w:val="0"/>
          <w:bCs w:val="0"/>
        </w:rPr>
        <w:fldChar w:fldCharType="end"/>
      </w:r>
      <w:bookmarkEnd w:id="35"/>
      <w:r>
        <w:rPr>
          <w:b w:val="0"/>
          <w:bCs w:val="0"/>
          <w:lang w:val="en-US" w:eastAsia="zh-CN"/>
        </w:rPr>
        <w:t xml:space="preserve"> Example for SRS transmission details while adopting SRS pre-configuration</w:t>
      </w:r>
    </w:p>
    <w:p>
      <w:pPr>
        <w:pStyle w:val="15"/>
        <w:autoSpaceDE w:val="0"/>
        <w:autoSpaceDN w:val="0"/>
        <w:adjustRightInd w:val="0"/>
        <w:snapToGrid w:val="0"/>
        <w:spacing w:before="180" w:beforeLines="50" w:after="180" w:afterLines="50"/>
        <w:jc w:val="both"/>
        <w:rPr>
          <w:i/>
          <w:iCs/>
          <w:lang w:val="en-US" w:eastAsia="zh-CN"/>
        </w:rPr>
      </w:pPr>
      <w:bookmarkStart w:id="36" w:name="_Ref16829"/>
      <w:r>
        <w:rPr>
          <w:i/>
          <w:iCs/>
        </w:rPr>
        <w:t xml:space="preserve">Proposal </w:t>
      </w:r>
      <w:r>
        <w:rPr>
          <w:i/>
          <w:iCs/>
        </w:rPr>
        <w:fldChar w:fldCharType="begin"/>
      </w:r>
      <w:r>
        <w:rPr>
          <w:i/>
          <w:iCs/>
        </w:rPr>
        <w:instrText xml:space="preserve"> SEQ Proposal \* ARABIC </w:instrText>
      </w:r>
      <w:r>
        <w:rPr>
          <w:i/>
          <w:iCs/>
        </w:rPr>
        <w:fldChar w:fldCharType="separate"/>
      </w:r>
      <w:r>
        <w:rPr>
          <w:i/>
          <w:iCs/>
        </w:rPr>
        <w:t>10</w:t>
      </w:r>
      <w:r>
        <w:rPr>
          <w:i/>
          <w:iCs/>
        </w:rPr>
        <w:fldChar w:fldCharType="end"/>
      </w:r>
      <w:r>
        <w:rPr>
          <w:i/>
          <w:iCs/>
          <w:lang w:val="en-US" w:eastAsia="zh-CN"/>
        </w:rPr>
        <w:t xml:space="preserve">: Support SRS pre-configuration </w:t>
      </w:r>
      <w:r>
        <w:rPr>
          <w:rFonts w:hint="eastAsia"/>
          <w:i/>
          <w:iCs/>
          <w:lang w:val="en-US" w:eastAsia="zh-CN"/>
        </w:rPr>
        <w:t>for multiple cells</w:t>
      </w:r>
      <w:r>
        <w:rPr>
          <w:i/>
          <w:iCs/>
          <w:lang w:val="en-US" w:eastAsia="zh-CN"/>
        </w:rPr>
        <w:t xml:space="preserve"> to avoid frequent RRC connection for SRS (re)configuration.</w:t>
      </w:r>
      <w:bookmarkEnd w:id="36"/>
    </w:p>
    <w:p>
      <w:pPr>
        <w:pStyle w:val="3"/>
        <w:snapToGrid w:val="0"/>
        <w:spacing w:after="120" w:line="240" w:lineRule="auto"/>
        <w:ind w:left="573" w:hanging="573"/>
        <w:jc w:val="both"/>
        <w:rPr>
          <w:sz w:val="24"/>
          <w:szCs w:val="24"/>
          <w:lang w:val="en-US" w:eastAsia="ko-KR"/>
        </w:rPr>
      </w:pPr>
      <w:r>
        <w:rPr>
          <w:sz w:val="24"/>
          <w:szCs w:val="24"/>
          <w:lang w:val="en-US" w:eastAsia="ko-KR"/>
        </w:rPr>
        <w:t>SRS for positioning activation/request procedure(s)</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UE will transmit Positioning Periodic SRS or Semi-Persistent SRS based on the SRS pre-configuration details. For periodic SRS configuration, UE may transmit SRS based on the periodicity, offset, power control and spatial details. But for semi-persistent SRS configuration, UE has to wait for a trigger command to start the SRS transmission.</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To support the effective transmission of intermittent small data, the Rel-17 introduced Small data transmission mechanism in RRC_INACTIVE state, the UE directly initiates small data transmission without switching to RRC_ CONNECTED state. Hence, we have the following observation:</w:t>
      </w:r>
    </w:p>
    <w:p>
      <w:pPr>
        <w:pStyle w:val="15"/>
        <w:adjustRightInd w:val="0"/>
        <w:snapToGrid w:val="0"/>
        <w:spacing w:before="180" w:beforeLines="50" w:after="180" w:afterLines="50"/>
        <w:jc w:val="both"/>
        <w:rPr>
          <w:i/>
          <w:iCs/>
          <w:lang w:val="en-US" w:eastAsia="zh-CN"/>
        </w:rPr>
      </w:pPr>
      <w:bookmarkStart w:id="37" w:name="_Ref16802"/>
      <w:r>
        <w:rPr>
          <w:i/>
          <w:iCs/>
        </w:rPr>
        <w:t xml:space="preserve">Observation </w:t>
      </w:r>
      <w:r>
        <w:rPr>
          <w:i/>
          <w:iCs/>
        </w:rPr>
        <w:fldChar w:fldCharType="begin"/>
      </w:r>
      <w:r>
        <w:rPr>
          <w:i/>
          <w:iCs/>
        </w:rPr>
        <w:instrText xml:space="preserve"> SEQ Observation \* ARABIC </w:instrText>
      </w:r>
      <w:r>
        <w:rPr>
          <w:i/>
          <w:iCs/>
        </w:rPr>
        <w:fldChar w:fldCharType="separate"/>
      </w:r>
      <w:r>
        <w:rPr>
          <w:i/>
          <w:iCs/>
        </w:rPr>
        <w:t>5</w:t>
      </w:r>
      <w:r>
        <w:rPr>
          <w:i/>
          <w:iCs/>
        </w:rPr>
        <w:fldChar w:fldCharType="end"/>
      </w:r>
      <w:r>
        <w:rPr>
          <w:i/>
          <w:iCs/>
          <w:lang w:val="en-US" w:eastAsia="zh-CN"/>
        </w:rPr>
        <w:t xml:space="preserve">: </w:t>
      </w:r>
      <w:r>
        <w:rPr>
          <w:i/>
          <w:iCs/>
          <w:lang w:val="en-US" w:eastAsia="ko-KR"/>
        </w:rPr>
        <w:t>SRS for positioning activation</w:t>
      </w:r>
      <w:r>
        <w:rPr>
          <w:i/>
          <w:iCs/>
          <w:lang w:val="en-US" w:eastAsia="zh-CN"/>
        </w:rPr>
        <w:t>/request procedures can be realized using SDT</w:t>
      </w:r>
      <w:r>
        <w:rPr>
          <w:rFonts w:hint="eastAsia"/>
          <w:i/>
          <w:iCs/>
          <w:lang w:val="en-US" w:eastAsia="zh-CN"/>
        </w:rPr>
        <w:t xml:space="preserve"> procedure</w:t>
      </w:r>
      <w:r>
        <w:rPr>
          <w:i/>
          <w:iCs/>
          <w:lang w:val="en-US" w:eastAsia="zh-CN"/>
        </w:rPr>
        <w:t>.</w:t>
      </w:r>
      <w:bookmarkEnd w:id="37"/>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UE may initiate SRS transmission request using in RACH procedure when it camps on a cell with semi</w:t>
      </w:r>
      <w:r>
        <w:rPr>
          <w:rFonts w:hint="eastAsia" w:ascii="Times New Roman" w:hAnsi="Times New Roman"/>
          <w:sz w:val="20"/>
          <w:szCs w:val="20"/>
        </w:rPr>
        <w:t>-</w:t>
      </w:r>
      <w:r>
        <w:rPr>
          <w:rFonts w:ascii="Times New Roman" w:hAnsi="Times New Roman"/>
          <w:sz w:val="20"/>
          <w:szCs w:val="20"/>
        </w:rPr>
        <w:t>persistent SRS configuration, and the SRS activation message can be included in msg4 (for 4 step RACH) when gNB detects the corresponding request. But from our perspective, it’s a RAN2 lead topic, therefore, we have the following proposal:</w:t>
      </w:r>
    </w:p>
    <w:p>
      <w:pPr>
        <w:pStyle w:val="15"/>
        <w:adjustRightInd w:val="0"/>
        <w:snapToGrid w:val="0"/>
        <w:spacing w:before="180" w:beforeLines="50" w:after="180" w:afterLines="50"/>
        <w:jc w:val="both"/>
        <w:rPr>
          <w:i/>
          <w:iCs/>
          <w:lang w:val="en-US" w:eastAsia="zh-CN"/>
        </w:rPr>
      </w:pPr>
      <w:bookmarkStart w:id="38" w:name="_Ref16832"/>
      <w:r>
        <w:rPr>
          <w:i/>
          <w:iCs/>
        </w:rPr>
        <w:t xml:space="preserve">Proposal </w:t>
      </w:r>
      <w:r>
        <w:rPr>
          <w:i/>
          <w:iCs/>
        </w:rPr>
        <w:fldChar w:fldCharType="begin"/>
      </w:r>
      <w:r>
        <w:rPr>
          <w:i/>
          <w:iCs/>
        </w:rPr>
        <w:instrText xml:space="preserve"> SEQ Proposal \* ARABIC </w:instrText>
      </w:r>
      <w:r>
        <w:rPr>
          <w:i/>
          <w:iCs/>
        </w:rPr>
        <w:fldChar w:fldCharType="separate"/>
      </w:r>
      <w:r>
        <w:rPr>
          <w:i/>
          <w:iCs/>
        </w:rPr>
        <w:t>11</w:t>
      </w:r>
      <w:r>
        <w:rPr>
          <w:i/>
          <w:iCs/>
        </w:rPr>
        <w:fldChar w:fldCharType="end"/>
      </w:r>
      <w:r>
        <w:rPr>
          <w:i/>
          <w:iCs/>
          <w:lang w:val="en-US" w:eastAsia="zh-CN"/>
        </w:rPr>
        <w:t>: Whether support SDT for positioning SRS activation/request can be decided by RAN2.</w:t>
      </w:r>
      <w:bookmarkEnd w:id="38"/>
    </w:p>
    <w:bookmarkEnd w:id="5"/>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 xml:space="preserve">Conclusion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this contribution, we have the following observations and proposals.</w:t>
      </w:r>
    </w:p>
    <w:p>
      <w:pPr>
        <w:numPr>
          <w:ilvl w:val="0"/>
          <w:numId w:val="0"/>
        </w:numPr>
        <w:adjustRightInd w:val="0"/>
        <w:snapToGrid w:val="0"/>
        <w:spacing w:after="0" w:line="240" w:lineRule="auto"/>
        <w:ind w:leftChars="0"/>
        <w:jc w:val="both"/>
        <w:rPr>
          <w:rFonts w:hint="default" w:ascii="Times New Roman" w:hAnsi="Times New Roman" w:cs="Times New Roman"/>
          <w:b/>
          <w:bCs/>
          <w:i/>
          <w:iCs/>
          <w:sz w:val="20"/>
          <w:szCs w:val="20"/>
        </w:rPr>
      </w:pPr>
      <w:r>
        <w:rPr>
          <w:lang w:val="en-US"/>
        </w:rPr>
        <w:fldChar w:fldCharType="begin"/>
      </w:r>
      <w:r>
        <w:rPr>
          <w:lang w:val="en-US"/>
        </w:rPr>
        <w:instrText xml:space="preserve"> REF _Ref16770 \h </w:instrText>
      </w:r>
      <w:r>
        <w:rPr>
          <w:lang w:val="en-US"/>
        </w:rPr>
        <w:fldChar w:fldCharType="separate"/>
      </w:r>
      <w:r>
        <w:rPr>
          <w:rFonts w:hint="default" w:ascii="Times New Roman" w:hAnsi="Times New Roman" w:cs="Times New Roman"/>
          <w:b/>
          <w:bCs/>
          <w:i/>
          <w:iCs/>
          <w:sz w:val="20"/>
          <w:szCs w:val="20"/>
        </w:rPr>
        <w:t>Observation 1</w:t>
      </w:r>
      <w:r>
        <w:rPr>
          <w:rFonts w:hint="default" w:ascii="Times New Roman" w:hAnsi="Times New Roman" w:cs="Times New Roman"/>
          <w:b/>
          <w:bCs/>
          <w:i/>
          <w:iCs/>
          <w:sz w:val="20"/>
          <w:szCs w:val="20"/>
          <w:lang w:val="en-US" w:eastAsia="zh-CN"/>
        </w:rPr>
        <w:t>: UE can reuse the TA obtain</w:t>
      </w:r>
      <w:r>
        <w:rPr>
          <w:rFonts w:hint="eastAsia" w:ascii="Times New Roman" w:hAnsi="Times New Roman" w:cs="Times New Roman"/>
          <w:b/>
          <w:bCs/>
          <w:i/>
          <w:iCs/>
          <w:sz w:val="20"/>
          <w:szCs w:val="20"/>
          <w:lang w:val="en-US" w:eastAsia="zh-CN"/>
        </w:rPr>
        <w:t>ed</w:t>
      </w:r>
      <w:r>
        <w:rPr>
          <w:rFonts w:hint="default" w:ascii="Times New Roman" w:hAnsi="Times New Roman" w:cs="Times New Roman"/>
          <w:b/>
          <w:bCs/>
          <w:i/>
          <w:iCs/>
          <w:sz w:val="20"/>
          <w:szCs w:val="20"/>
          <w:lang w:val="en-US" w:eastAsia="zh-CN"/>
        </w:rPr>
        <w:t xml:space="preserve"> from the last serving gNB across multiple cells within the SRS configuration validity area</w:t>
      </w:r>
      <w:r>
        <w:rPr>
          <w:rFonts w:hint="default" w:ascii="Times New Roman" w:hAnsi="Times New Roman" w:cs="Times New Roman"/>
          <w:b/>
          <w:bCs/>
          <w:i/>
          <w:iCs/>
          <w:sz w:val="20"/>
          <w:szCs w:val="20"/>
        </w:rPr>
        <w:t>.</w:t>
      </w:r>
    </w:p>
    <w:p>
      <w:pPr>
        <w:numPr>
          <w:ilvl w:val="0"/>
          <w:numId w:val="0"/>
        </w:numPr>
        <w:adjustRightInd w:val="0"/>
        <w:snapToGrid w:val="0"/>
        <w:spacing w:after="0" w:line="240" w:lineRule="auto"/>
        <w:ind w:leftChars="0"/>
        <w:jc w:val="both"/>
        <w:rPr>
          <w:rFonts w:hint="default" w:ascii="Times New Roman" w:hAnsi="Times New Roman" w:cs="Times New Roman"/>
          <w:b/>
          <w:bCs/>
          <w:i/>
          <w:iCs/>
          <w:sz w:val="20"/>
          <w:szCs w:val="20"/>
        </w:rPr>
      </w:pPr>
    </w:p>
    <w:p>
      <w:pPr>
        <w:numPr>
          <w:ilvl w:val="0"/>
          <w:numId w:val="0"/>
        </w:numPr>
        <w:adjustRightInd w:val="0"/>
        <w:snapToGrid w:val="0"/>
        <w:spacing w:after="0" w:line="240" w:lineRule="auto"/>
        <w:ind w:leftChars="0"/>
        <w:jc w:val="both"/>
        <w:rPr>
          <w:rFonts w:hint="default" w:ascii="Times New Roman" w:hAnsi="Times New Roman" w:cs="Times New Roman"/>
          <w:b/>
          <w:bCs/>
          <w:i/>
          <w:iCs/>
          <w:sz w:val="20"/>
          <w:szCs w:val="20"/>
        </w:rPr>
      </w:pPr>
      <w:r>
        <w:rPr>
          <w:rFonts w:hint="default" w:ascii="Times New Roman" w:hAnsi="Times New Roman" w:cs="Times New Roman"/>
          <w:b/>
          <w:bCs/>
          <w:i/>
          <w:iCs/>
          <w:sz w:val="20"/>
          <w:szCs w:val="20"/>
          <w:lang w:val="en-US"/>
        </w:rPr>
        <w:fldChar w:fldCharType="begin"/>
      </w:r>
      <w:r>
        <w:rPr>
          <w:rFonts w:hint="default" w:ascii="Times New Roman" w:hAnsi="Times New Roman" w:cs="Times New Roman"/>
          <w:b/>
          <w:bCs/>
          <w:i/>
          <w:iCs/>
          <w:sz w:val="20"/>
          <w:szCs w:val="20"/>
          <w:lang w:val="en-US"/>
        </w:rPr>
        <w:instrText xml:space="preserve"> REF _Ref5815 \h </w:instrText>
      </w:r>
      <w:r>
        <w:rPr>
          <w:rFonts w:hint="default" w:ascii="Times New Roman" w:hAnsi="Times New Roman" w:cs="Times New Roman"/>
          <w:b/>
          <w:bCs/>
          <w:i/>
          <w:iCs/>
          <w:sz w:val="20"/>
          <w:szCs w:val="20"/>
          <w:lang w:val="en-US"/>
        </w:rPr>
        <w:fldChar w:fldCharType="separate"/>
      </w:r>
      <w:r>
        <w:rPr>
          <w:rFonts w:hint="default" w:ascii="Times New Roman" w:hAnsi="Times New Roman" w:cs="Times New Roman"/>
          <w:b/>
          <w:bCs/>
          <w:i/>
          <w:iCs/>
          <w:sz w:val="20"/>
          <w:szCs w:val="20"/>
        </w:rPr>
        <w:t>Observation 2</w:t>
      </w:r>
      <w:r>
        <w:rPr>
          <w:rFonts w:hint="default" w:ascii="Times New Roman" w:hAnsi="Times New Roman" w:cs="Times New Roman"/>
          <w:b/>
          <w:bCs/>
          <w:i/>
          <w:iCs/>
          <w:sz w:val="20"/>
          <w:szCs w:val="20"/>
          <w:lang w:val="en-US" w:eastAsia="zh-CN"/>
        </w:rPr>
        <w:t xml:space="preserve">: UE can automatically calculate the corresponding TA of a new cell based on its mobility when it camps on the new cell within the validity area. </w:t>
      </w:r>
      <w:r>
        <w:rPr>
          <w:rFonts w:hint="eastAsia" w:ascii="Times New Roman" w:hAnsi="Times New Roman" w:cs="Times New Roman"/>
          <w:b/>
          <w:bCs/>
          <w:i/>
          <w:iCs/>
          <w:sz w:val="20"/>
          <w:szCs w:val="20"/>
          <w:lang w:val="en-US" w:eastAsia="zh-CN"/>
        </w:rPr>
        <w:t>I</w:t>
      </w:r>
      <w:r>
        <w:rPr>
          <w:rFonts w:hint="default" w:ascii="Times New Roman" w:hAnsi="Times New Roman" w:cs="Times New Roman"/>
          <w:b/>
          <w:bCs/>
          <w:i/>
          <w:iCs/>
          <w:sz w:val="20"/>
          <w:szCs w:val="20"/>
          <w:lang w:val="en-US" w:eastAsia="zh-CN"/>
        </w:rPr>
        <w:t>t’s beneficial</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 xml:space="preserve">to let UE know the </w:t>
      </w:r>
      <w:r>
        <w:rPr>
          <w:rFonts w:hint="eastAsia" w:ascii="Times New Roman" w:hAnsi="Times New Roman" w:cs="Times New Roman"/>
          <w:b/>
          <w:bCs/>
          <w:i/>
          <w:iCs/>
          <w:sz w:val="20"/>
          <w:szCs w:val="20"/>
          <w:lang w:val="en-US" w:eastAsia="zh-CN"/>
        </w:rPr>
        <w:t>coordinates</w:t>
      </w:r>
      <w:r>
        <w:rPr>
          <w:rFonts w:hint="default" w:ascii="Times New Roman" w:hAnsi="Times New Roman" w:cs="Times New Roman"/>
          <w:b/>
          <w:bCs/>
          <w:i/>
          <w:iCs/>
          <w:sz w:val="20"/>
          <w:szCs w:val="20"/>
          <w:lang w:val="en-US" w:eastAsia="zh-CN"/>
        </w:rPr>
        <w:t xml:space="preserve"> of the gNB</w:t>
      </w:r>
      <w:r>
        <w:rPr>
          <w:rFonts w:hint="eastAsia" w:ascii="Times New Roman" w:hAnsi="Times New Roman" w:cs="Times New Roman"/>
          <w:b/>
          <w:bCs/>
          <w:i/>
          <w:iCs/>
          <w:sz w:val="20"/>
          <w:szCs w:val="20"/>
          <w:lang w:val="en-US" w:eastAsia="zh-CN"/>
        </w:rPr>
        <w:t>s</w:t>
      </w:r>
      <w:r>
        <w:rPr>
          <w:rFonts w:hint="default" w:ascii="Times New Roman" w:hAnsi="Times New Roman" w:cs="Times New Roman"/>
          <w:b/>
          <w:bCs/>
          <w:i/>
          <w:iCs/>
          <w:sz w:val="20"/>
          <w:szCs w:val="20"/>
          <w:lang w:val="en-US" w:eastAsia="zh-CN"/>
        </w:rPr>
        <w:t xml:space="preserve"> within the validity area</w:t>
      </w:r>
      <w:r>
        <w:rPr>
          <w:rFonts w:hint="eastAsia" w:ascii="Times New Roman" w:hAnsi="Times New Roman" w:cs="Times New Roman"/>
          <w:b/>
          <w:bCs/>
          <w:i/>
          <w:iCs/>
          <w:sz w:val="20"/>
          <w:szCs w:val="20"/>
          <w:lang w:val="en-US" w:eastAsia="zh-CN"/>
        </w:rPr>
        <w:t xml:space="preserve"> for TA update</w:t>
      </w:r>
      <w:r>
        <w:rPr>
          <w:rFonts w:hint="default" w:ascii="Times New Roman" w:hAnsi="Times New Roman" w:cs="Times New Roman"/>
          <w:b/>
          <w:bCs/>
          <w:i/>
          <w:iCs/>
          <w:sz w:val="20"/>
          <w:szCs w:val="20"/>
          <w:lang w:val="en-US" w:eastAsia="zh-CN"/>
        </w:rPr>
        <w:t>.</w:t>
      </w:r>
      <w:r>
        <w:rPr>
          <w:rFonts w:hint="default" w:ascii="Times New Roman" w:hAnsi="Times New Roman" w:cs="Times New Roman"/>
          <w:b/>
          <w:bCs/>
          <w:i/>
          <w:iCs/>
          <w:sz w:val="20"/>
          <w:szCs w:val="20"/>
          <w:lang w:val="en-US"/>
        </w:rPr>
        <w:fldChar w:fldCharType="end"/>
      </w:r>
    </w:p>
    <w:p>
      <w:pPr>
        <w:pStyle w:val="15"/>
        <w:adjustRightInd w:val="0"/>
        <w:snapToGrid w:val="0"/>
        <w:spacing w:before="180" w:beforeLines="50" w:after="180" w:afterLines="50"/>
        <w:jc w:val="both"/>
        <w:rPr>
          <w:lang w:val="en-US"/>
        </w:rPr>
      </w:pPr>
      <w:r>
        <w:rPr>
          <w:lang w:val="en-US"/>
        </w:rPr>
        <w:fldChar w:fldCharType="end"/>
      </w:r>
      <w:r>
        <w:rPr>
          <w:lang w:val="en-US"/>
        </w:rPr>
        <w:fldChar w:fldCharType="begin"/>
      </w:r>
      <w:r>
        <w:rPr>
          <w:lang w:val="en-US"/>
        </w:rPr>
        <w:instrText xml:space="preserve"> REF _Ref16783 \h </w:instrText>
      </w:r>
      <w:r>
        <w:rPr>
          <w:lang w:val="en-US"/>
        </w:rPr>
        <w:fldChar w:fldCharType="separate"/>
      </w:r>
      <w:r>
        <w:rPr>
          <w:i/>
          <w:iCs/>
        </w:rPr>
        <w:t>Observation 3</w:t>
      </w:r>
      <w:r>
        <w:rPr>
          <w:i/>
          <w:iCs/>
          <w:lang w:val="en-US" w:eastAsia="zh-CN"/>
        </w:rPr>
        <w:t xml:space="preserve">: If </w:t>
      </w:r>
      <w:r>
        <w:rPr>
          <w:i/>
          <w:iCs/>
          <w:lang w:val="en-US" w:eastAsia="ja-JP"/>
        </w:rPr>
        <w:t xml:space="preserve">a </w:t>
      </w:r>
      <w:r>
        <w:rPr>
          <w:rFonts w:hint="eastAsia"/>
          <w:i/>
          <w:iCs/>
          <w:lang w:val="en-US" w:eastAsia="zh-CN"/>
        </w:rPr>
        <w:t xml:space="preserve">new </w:t>
      </w:r>
      <w:r>
        <w:rPr>
          <w:i/>
          <w:iCs/>
          <w:lang w:val="en-US" w:eastAsia="ja-JP"/>
        </w:rPr>
        <w:t xml:space="preserve">cell can configure TA for UE when UE camps on </w:t>
      </w:r>
      <w:r>
        <w:rPr>
          <w:rFonts w:hint="eastAsia"/>
          <w:i/>
          <w:iCs/>
          <w:lang w:val="en-US" w:eastAsia="zh-CN"/>
        </w:rPr>
        <w:t xml:space="preserve">this </w:t>
      </w:r>
      <w:r>
        <w:rPr>
          <w:i/>
          <w:iCs/>
          <w:lang w:val="en-US" w:eastAsia="ja-JP"/>
        </w:rPr>
        <w:t>cell, UE has to initiate RACH procedure. And the new cell should support SDT feature to avoid UE entering RRC_CONNECTED state.</w:t>
      </w:r>
      <w:r>
        <w:rPr>
          <w:i/>
          <w:iCs/>
          <w:lang w:val="en-US" w:eastAsia="zh-CN"/>
        </w:rPr>
        <w:t xml:space="preserve"> </w:t>
      </w:r>
      <w:r>
        <w:rPr>
          <w:lang w:val="en-US"/>
        </w:rPr>
        <w:fldChar w:fldCharType="end"/>
      </w:r>
    </w:p>
    <w:p>
      <w:pPr>
        <w:pStyle w:val="15"/>
        <w:adjustRightInd w:val="0"/>
        <w:snapToGrid w:val="0"/>
        <w:spacing w:before="180" w:beforeLines="50" w:after="180" w:afterLines="50"/>
        <w:jc w:val="both"/>
        <w:rPr>
          <w:lang w:val="en-US"/>
        </w:rPr>
      </w:pPr>
      <w:r>
        <w:rPr>
          <w:lang w:val="en-US"/>
        </w:rPr>
        <w:fldChar w:fldCharType="begin"/>
      </w:r>
      <w:r>
        <w:rPr>
          <w:lang w:val="en-US"/>
        </w:rPr>
        <w:instrText xml:space="preserve"> REF _Ref21665 \h </w:instrText>
      </w:r>
      <w:r>
        <w:rPr>
          <w:lang w:val="en-US"/>
        </w:rPr>
        <w:fldChar w:fldCharType="separate"/>
      </w:r>
      <w:r>
        <w:rPr>
          <w:i/>
          <w:iCs/>
        </w:rPr>
        <w:t>Observation 4</w:t>
      </w:r>
      <w:r>
        <w:rPr>
          <w:i/>
          <w:iCs/>
          <w:lang w:val="en-US" w:eastAsia="zh-CN"/>
        </w:rPr>
        <w:t xml:space="preserve">: Power control related parameters include pathloss reference, p0 and alpha </w:t>
      </w:r>
      <w:r>
        <w:rPr>
          <w:rFonts w:hint="eastAsia"/>
          <w:i/>
          <w:iCs/>
          <w:lang w:val="en-US" w:eastAsia="zh-CN"/>
        </w:rPr>
        <w:t>cannot be reused in multiple cells,</w:t>
      </w:r>
      <w:r>
        <w:rPr>
          <w:i/>
          <w:iCs/>
          <w:lang w:val="en-US" w:eastAsia="zh-CN"/>
        </w:rPr>
        <w:t xml:space="preserve"> these configurations are regarded as invalid when UE camps on a new cell. </w:t>
      </w:r>
      <w:r>
        <w:rPr>
          <w:lang w:val="en-US"/>
        </w:rPr>
        <w:fldChar w:fldCharType="end"/>
      </w:r>
    </w:p>
    <w:p>
      <w:pPr>
        <w:pStyle w:val="15"/>
        <w:adjustRightInd w:val="0"/>
        <w:snapToGrid w:val="0"/>
        <w:spacing w:before="180" w:beforeLines="50" w:after="180" w:afterLines="50"/>
        <w:jc w:val="both"/>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fldChar w:fldCharType="begin"/>
      </w:r>
      <w:r>
        <w:rPr>
          <w:rFonts w:hint="default" w:ascii="Times New Roman" w:hAnsi="Times New Roman" w:cs="Times New Roman"/>
          <w:b/>
          <w:bCs/>
          <w:sz w:val="20"/>
          <w:szCs w:val="20"/>
          <w:lang w:val="en-US"/>
        </w:rPr>
        <w:instrText xml:space="preserve"> REF _Ref16802 \h </w:instrText>
      </w:r>
      <w:r>
        <w:rPr>
          <w:rFonts w:hint="default" w:ascii="Times New Roman" w:hAnsi="Times New Roman" w:cs="Times New Roman"/>
          <w:b/>
          <w:bCs/>
          <w:sz w:val="20"/>
          <w:szCs w:val="20"/>
          <w:lang w:val="en-US"/>
        </w:rPr>
        <w:fldChar w:fldCharType="separate"/>
      </w:r>
      <w:r>
        <w:rPr>
          <w:rFonts w:hint="default" w:ascii="Times New Roman" w:hAnsi="Times New Roman" w:cs="Times New Roman"/>
          <w:b/>
          <w:bCs/>
          <w:i/>
          <w:iCs/>
          <w:sz w:val="20"/>
          <w:szCs w:val="20"/>
        </w:rPr>
        <w:t>Observation 5</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eastAsia="ko-KR"/>
        </w:rPr>
        <w:t>SRS for positioning activation</w:t>
      </w:r>
      <w:r>
        <w:rPr>
          <w:rFonts w:hint="default" w:ascii="Times New Roman" w:hAnsi="Times New Roman" w:cs="Times New Roman"/>
          <w:b/>
          <w:bCs/>
          <w:i/>
          <w:iCs/>
          <w:sz w:val="20"/>
          <w:szCs w:val="20"/>
          <w:lang w:val="en-US" w:eastAsia="zh-CN"/>
        </w:rPr>
        <w:t>/request procedures can be realized using SDT procedure.</w:t>
      </w:r>
      <w:r>
        <w:rPr>
          <w:rFonts w:hint="default" w:ascii="Times New Roman" w:hAnsi="Times New Roman" w:cs="Times New Roman"/>
          <w:b/>
          <w:bCs/>
          <w:sz w:val="20"/>
          <w:szCs w:val="20"/>
          <w:lang w:val="en-US"/>
        </w:rPr>
        <w:fldChar w:fldCharType="end"/>
      </w:r>
    </w:p>
    <w:p>
      <w:pPr>
        <w:adjustRightInd w:val="0"/>
        <w:snapToGrid w:val="0"/>
        <w:spacing w:before="180" w:beforeLines="50" w:after="180" w:afterLines="50" w:line="240" w:lineRule="auto"/>
        <w:jc w:val="both"/>
        <w:rPr>
          <w:rFonts w:hint="default" w:ascii="Times New Roman" w:hAnsi="Times New Roman" w:cs="Times New Roman"/>
          <w:b/>
          <w:bCs/>
          <w:sz w:val="20"/>
          <w:szCs w:val="20"/>
        </w:rPr>
      </w:pPr>
      <w:r>
        <w:rPr>
          <w:rFonts w:hint="default" w:ascii="Times New Roman" w:hAnsi="Times New Roman" w:cs="Times New Roman"/>
          <w:b/>
          <w:bCs/>
          <w:sz w:val="20"/>
          <w:szCs w:val="20"/>
        </w:rPr>
        <w:fldChar w:fldCharType="begin"/>
      </w:r>
      <w:r>
        <w:rPr>
          <w:rFonts w:hint="default" w:ascii="Times New Roman" w:hAnsi="Times New Roman" w:cs="Times New Roman"/>
          <w:b/>
          <w:bCs/>
          <w:sz w:val="20"/>
          <w:szCs w:val="20"/>
        </w:rPr>
        <w:instrText xml:space="preserve"> REF _Ref21708 \h </w:instrText>
      </w:r>
      <w:r>
        <w:rPr>
          <w:rFonts w:hint="default" w:ascii="Times New Roman" w:hAnsi="Times New Roman" w:cs="Times New Roman"/>
          <w:b/>
          <w:bCs/>
          <w:sz w:val="20"/>
          <w:szCs w:val="20"/>
        </w:rPr>
        <w:fldChar w:fldCharType="separate"/>
      </w:r>
      <w:r>
        <w:rPr>
          <w:rFonts w:hint="default" w:ascii="Times New Roman" w:hAnsi="Times New Roman" w:cs="Times New Roman"/>
          <w:b/>
          <w:bCs/>
          <w:i/>
          <w:iCs/>
          <w:sz w:val="20"/>
          <w:szCs w:val="20"/>
        </w:rPr>
        <w:t>Proposal 1</w:t>
      </w:r>
      <w:r>
        <w:rPr>
          <w:rFonts w:hint="default" w:ascii="Times New Roman" w:hAnsi="Times New Roman" w:cs="Times New Roman"/>
          <w:b/>
          <w:bCs/>
          <w:i/>
          <w:iCs/>
          <w:sz w:val="20"/>
          <w:szCs w:val="20"/>
          <w:lang w:val="en-US" w:eastAsia="zh-CN"/>
        </w:rPr>
        <w:t>: At least support option 1 for TA update when UE camps on a new cell within the validity area</w:t>
      </w:r>
      <w:r>
        <w:rPr>
          <w:rFonts w:hint="default" w:ascii="Times New Roman" w:hAnsi="Times New Roman" w:cs="Times New Roman"/>
          <w:b/>
          <w:bCs/>
          <w:sz w:val="20"/>
          <w:szCs w:val="20"/>
        </w:rPr>
        <w:fldChar w:fldCharType="end"/>
      </w:r>
      <w:r>
        <w:rPr>
          <w:rFonts w:hint="default" w:ascii="Times New Roman" w:hAnsi="Times New Roman" w:cs="Times New Roman"/>
          <w:b/>
          <w:bCs/>
          <w:sz w:val="20"/>
          <w:szCs w:val="20"/>
        </w:rPr>
        <w:t>.</w:t>
      </w:r>
    </w:p>
    <w:p>
      <w:pPr>
        <w:adjustRightInd w:val="0"/>
        <w:snapToGrid w:val="0"/>
        <w:spacing w:before="180" w:beforeLines="50" w:after="0" w:line="240" w:lineRule="auto"/>
        <w:jc w:val="both"/>
        <w:rPr>
          <w:rFonts w:hint="default" w:ascii="Times New Roman" w:hAnsi="Times New Roman" w:cs="Times New Roman"/>
          <w:b/>
          <w:bCs/>
          <w:sz w:val="20"/>
          <w:szCs w:val="20"/>
        </w:rPr>
      </w:pPr>
      <w:r>
        <w:rPr>
          <w:rFonts w:hint="default" w:ascii="Times New Roman" w:hAnsi="Times New Roman" w:cs="Times New Roman"/>
          <w:b/>
          <w:bCs/>
          <w:sz w:val="20"/>
          <w:szCs w:val="20"/>
        </w:rPr>
        <w:fldChar w:fldCharType="begin"/>
      </w:r>
      <w:r>
        <w:rPr>
          <w:rFonts w:hint="default" w:ascii="Times New Roman" w:hAnsi="Times New Roman" w:cs="Times New Roman"/>
          <w:b/>
          <w:bCs/>
          <w:sz w:val="20"/>
          <w:szCs w:val="20"/>
        </w:rPr>
        <w:instrText xml:space="preserve"> REF _Ref12656 \h </w:instrText>
      </w:r>
      <w:r>
        <w:rPr>
          <w:rFonts w:hint="default" w:ascii="Times New Roman" w:hAnsi="Times New Roman" w:cs="Times New Roman"/>
          <w:b/>
          <w:bCs/>
          <w:sz w:val="20"/>
          <w:szCs w:val="20"/>
        </w:rPr>
        <w:fldChar w:fldCharType="separate"/>
      </w:r>
      <w:r>
        <w:rPr>
          <w:rFonts w:hint="default" w:ascii="Times New Roman" w:hAnsi="Times New Roman" w:cs="Times New Roman"/>
          <w:b/>
          <w:bCs/>
          <w:i/>
          <w:iCs/>
          <w:sz w:val="20"/>
          <w:szCs w:val="20"/>
        </w:rPr>
        <w:t xml:space="preserve">Proposal 2: </w:t>
      </w:r>
      <w:r>
        <w:rPr>
          <w:rFonts w:hint="default" w:ascii="Times New Roman" w:hAnsi="Times New Roman" w:eastAsia="宋体" w:cs="Times New Roman"/>
          <w:b/>
          <w:bCs/>
          <w:i/>
          <w:iCs/>
          <w:sz w:val="20"/>
          <w:szCs w:val="20"/>
        </w:rPr>
        <w:t>Concerning the reference RS selection of the RSRP change threshold for TA validation, the following options should be down-selected:</w:t>
      </w:r>
      <w:r>
        <w:rPr>
          <w:rFonts w:hint="default" w:ascii="Times New Roman" w:hAnsi="Times New Roman" w:cs="Times New Roman"/>
          <w:b/>
          <w:bCs/>
          <w:sz w:val="20"/>
          <w:szCs w:val="20"/>
        </w:rPr>
        <w:fldChar w:fldCharType="end"/>
      </w:r>
    </w:p>
    <w:p>
      <w:pPr>
        <w:pStyle w:val="94"/>
        <w:numPr>
          <w:ilvl w:val="1"/>
          <w:numId w:val="5"/>
        </w:numPr>
        <w:snapToGrid w:val="0"/>
        <w:spacing w:after="0" w:line="240" w:lineRule="auto"/>
        <w:jc w:val="both"/>
        <w:rPr>
          <w:b/>
          <w:bCs/>
          <w:i/>
          <w:iCs/>
          <w:sz w:val="20"/>
          <w:lang w:eastAsia="zh-CN"/>
        </w:rPr>
      </w:pPr>
      <w:r>
        <w:rPr>
          <w:rFonts w:hint="default" w:ascii="Times New Roman" w:hAnsi="Times New Roman" w:cs="Times New Roman"/>
          <w:b/>
          <w:bCs/>
          <w:i/>
          <w:iCs/>
          <w:sz w:val="20"/>
          <w:szCs w:val="20"/>
          <w:lang w:eastAsia="zh-CN"/>
        </w:rPr>
        <w:t>For the case UE selects ONE p</w:t>
      </w:r>
      <w:r>
        <w:rPr>
          <w:b/>
          <w:bCs/>
          <w:i/>
          <w:iCs/>
          <w:sz w:val="20"/>
          <w:lang w:eastAsia="zh-CN"/>
        </w:rPr>
        <w:t>athloss reference for different SRS resource sets</w:t>
      </w:r>
    </w:p>
    <w:p>
      <w:pPr>
        <w:numPr>
          <w:ilvl w:val="1"/>
          <w:numId w:val="4"/>
        </w:numPr>
        <w:adjustRightInd w:val="0"/>
        <w:snapToGrid w:val="0"/>
        <w:spacing w:after="0" w:line="240" w:lineRule="auto"/>
        <w:contextualSpacing/>
        <w:jc w:val="both"/>
        <w:rPr>
          <w:rFonts w:ascii="Times New Roman" w:hAnsi="Times New Roman" w:eastAsia="宋体"/>
          <w:b/>
          <w:bCs/>
          <w:i/>
          <w:iCs/>
          <w:sz w:val="20"/>
          <w:szCs w:val="20"/>
        </w:rPr>
      </w:pPr>
      <w:r>
        <w:rPr>
          <w:rFonts w:ascii="Times New Roman" w:hAnsi="Times New Roman" w:eastAsia="宋体"/>
          <w:b/>
          <w:bCs/>
          <w:i/>
          <w:iCs/>
          <w:sz w:val="20"/>
          <w:szCs w:val="20"/>
        </w:rPr>
        <w:t>Option 1: RSRP change is the RSRP difference based on the same pathloss reference from the last cell at different time</w:t>
      </w:r>
    </w:p>
    <w:p>
      <w:pPr>
        <w:numPr>
          <w:ilvl w:val="1"/>
          <w:numId w:val="4"/>
        </w:numPr>
        <w:adjustRightInd w:val="0"/>
        <w:snapToGrid w:val="0"/>
        <w:spacing w:after="0" w:line="240" w:lineRule="auto"/>
        <w:contextualSpacing/>
        <w:jc w:val="both"/>
        <w:rPr>
          <w:rFonts w:ascii="Times New Roman" w:hAnsi="Times New Roman" w:eastAsia="宋体"/>
          <w:b/>
          <w:bCs/>
          <w:i/>
          <w:iCs/>
          <w:sz w:val="20"/>
          <w:szCs w:val="20"/>
        </w:rPr>
      </w:pPr>
      <w:r>
        <w:rPr>
          <w:rFonts w:ascii="Times New Roman" w:hAnsi="Times New Roman" w:eastAsia="宋体"/>
          <w:b/>
          <w:bCs/>
          <w:i/>
          <w:iCs/>
          <w:sz w:val="20"/>
          <w:szCs w:val="20"/>
        </w:rPr>
        <w:t xml:space="preserve">Option 2: RSRP change is the RSRP difference </w:t>
      </w:r>
      <w:r>
        <w:rPr>
          <w:rFonts w:hint="eastAsia" w:ascii="Times New Roman" w:hAnsi="Times New Roman" w:eastAsia="宋体"/>
          <w:b/>
          <w:bCs/>
          <w:i/>
          <w:iCs/>
          <w:sz w:val="20"/>
          <w:szCs w:val="20"/>
          <w:lang w:val="en-US" w:eastAsia="zh-CN"/>
        </w:rPr>
        <w:t xml:space="preserve">based on the different pathloss references from </w:t>
      </w:r>
      <w:r>
        <w:rPr>
          <w:rFonts w:ascii="Times New Roman" w:hAnsi="Times New Roman" w:eastAsia="宋体"/>
          <w:b/>
          <w:bCs/>
          <w:i/>
          <w:iCs/>
          <w:sz w:val="20"/>
          <w:szCs w:val="20"/>
        </w:rPr>
        <w:t>the last cell and the new camp cell</w:t>
      </w:r>
    </w:p>
    <w:p>
      <w:pPr>
        <w:pStyle w:val="94"/>
        <w:numPr>
          <w:ilvl w:val="1"/>
          <w:numId w:val="5"/>
        </w:numPr>
        <w:snapToGrid w:val="0"/>
        <w:spacing w:after="0" w:line="240" w:lineRule="auto"/>
        <w:jc w:val="both"/>
        <w:rPr>
          <w:b/>
          <w:bCs/>
          <w:i/>
          <w:iCs/>
          <w:sz w:val="20"/>
          <w:lang w:eastAsia="zh-CN"/>
        </w:rPr>
      </w:pPr>
      <w:r>
        <w:rPr>
          <w:rFonts w:hint="eastAsia"/>
          <w:b/>
          <w:bCs/>
          <w:i/>
          <w:iCs/>
          <w:sz w:val="20"/>
          <w:lang w:eastAsia="zh-CN"/>
        </w:rPr>
        <w:t xml:space="preserve">For the case </w:t>
      </w:r>
      <w:r>
        <w:rPr>
          <w:b/>
          <w:bCs/>
          <w:i/>
          <w:iCs/>
          <w:sz w:val="20"/>
          <w:lang w:eastAsia="zh-CN"/>
        </w:rPr>
        <w:t xml:space="preserve">UE selects </w:t>
      </w:r>
      <w:r>
        <w:rPr>
          <w:rFonts w:hint="eastAsia"/>
          <w:b/>
          <w:bCs/>
          <w:i/>
          <w:iCs/>
          <w:sz w:val="20"/>
          <w:lang w:eastAsia="zh-CN"/>
        </w:rPr>
        <w:t xml:space="preserve">different </w:t>
      </w:r>
      <w:r>
        <w:rPr>
          <w:b/>
          <w:bCs/>
          <w:i/>
          <w:iCs/>
          <w:sz w:val="20"/>
          <w:lang w:eastAsia="zh-CN"/>
        </w:rPr>
        <w:t>pathloss reference</w:t>
      </w:r>
      <w:r>
        <w:rPr>
          <w:rFonts w:hint="eastAsia"/>
          <w:b/>
          <w:bCs/>
          <w:i/>
          <w:iCs/>
          <w:sz w:val="20"/>
          <w:lang w:eastAsia="zh-CN"/>
        </w:rPr>
        <w:t>s</w:t>
      </w:r>
      <w:r>
        <w:rPr>
          <w:b/>
          <w:bCs/>
          <w:i/>
          <w:iCs/>
          <w:sz w:val="20"/>
          <w:lang w:eastAsia="zh-CN"/>
        </w:rPr>
        <w:t xml:space="preserve"> for different SRS resource sets</w:t>
      </w:r>
    </w:p>
    <w:p>
      <w:pPr>
        <w:numPr>
          <w:ilvl w:val="1"/>
          <w:numId w:val="4"/>
        </w:numPr>
        <w:adjustRightInd w:val="0"/>
        <w:snapToGrid w:val="0"/>
        <w:spacing w:after="0" w:line="240" w:lineRule="auto"/>
        <w:contextualSpacing/>
        <w:jc w:val="both"/>
        <w:rPr>
          <w:rFonts w:ascii="Times New Roman" w:hAnsi="Times New Roman" w:eastAsia="宋体"/>
          <w:b/>
          <w:bCs/>
          <w:i/>
          <w:iCs/>
          <w:sz w:val="20"/>
          <w:szCs w:val="20"/>
        </w:rPr>
      </w:pPr>
      <w:r>
        <w:rPr>
          <w:rFonts w:ascii="Times New Roman" w:hAnsi="Times New Roman" w:eastAsia="宋体"/>
          <w:b/>
          <w:bCs/>
          <w:i/>
          <w:iCs/>
          <w:sz w:val="20"/>
          <w:szCs w:val="20"/>
        </w:rPr>
        <w:t>Option 1: RSRP change is the RSRP difference based on the same pathloss reference from the last cell at different time</w:t>
      </w:r>
    </w:p>
    <w:p>
      <w:pPr>
        <w:numPr>
          <w:ilvl w:val="1"/>
          <w:numId w:val="4"/>
        </w:numPr>
        <w:adjustRightInd w:val="0"/>
        <w:snapToGrid w:val="0"/>
        <w:spacing w:after="0" w:line="240" w:lineRule="auto"/>
        <w:contextualSpacing/>
        <w:jc w:val="both"/>
        <w:rPr>
          <w:rFonts w:ascii="Times New Roman" w:hAnsi="Times New Roman" w:eastAsia="宋体"/>
          <w:b/>
          <w:bCs/>
          <w:i/>
          <w:iCs/>
          <w:sz w:val="20"/>
          <w:szCs w:val="20"/>
        </w:rPr>
      </w:pPr>
      <w:r>
        <w:rPr>
          <w:rFonts w:ascii="Times New Roman" w:hAnsi="Times New Roman" w:eastAsia="宋体"/>
          <w:b/>
          <w:bCs/>
          <w:i/>
          <w:iCs/>
          <w:sz w:val="20"/>
          <w:szCs w:val="20"/>
        </w:rPr>
        <w:t xml:space="preserve">Option 2: RSRP change is the RSRP difference </w:t>
      </w:r>
      <w:r>
        <w:rPr>
          <w:rFonts w:hint="eastAsia" w:ascii="Times New Roman" w:hAnsi="Times New Roman" w:eastAsia="宋体"/>
          <w:b/>
          <w:bCs/>
          <w:i/>
          <w:iCs/>
          <w:sz w:val="20"/>
          <w:szCs w:val="20"/>
          <w:lang w:val="en-US" w:eastAsia="zh-CN"/>
        </w:rPr>
        <w:t xml:space="preserve">based on the different pathloss references from </w:t>
      </w:r>
      <w:r>
        <w:rPr>
          <w:rFonts w:ascii="Times New Roman" w:hAnsi="Times New Roman" w:eastAsia="宋体"/>
          <w:b/>
          <w:bCs/>
          <w:i/>
          <w:iCs/>
          <w:sz w:val="20"/>
          <w:szCs w:val="20"/>
        </w:rPr>
        <w:t>the last cell and the new camp cell</w:t>
      </w:r>
    </w:p>
    <w:p>
      <w:pPr>
        <w:numPr>
          <w:ilvl w:val="2"/>
          <w:numId w:val="4"/>
        </w:numPr>
        <w:adjustRightInd w:val="0"/>
        <w:snapToGrid w:val="0"/>
        <w:spacing w:after="0" w:line="240" w:lineRule="auto"/>
        <w:contextualSpacing/>
        <w:jc w:val="both"/>
        <w:rPr>
          <w:b/>
          <w:bCs/>
          <w:i/>
          <w:iCs/>
        </w:rPr>
      </w:pPr>
      <w:r>
        <w:rPr>
          <w:rFonts w:hint="eastAsia" w:ascii="Times New Roman" w:hAnsi="Times New Roman" w:eastAsia="宋体"/>
          <w:b/>
          <w:bCs/>
          <w:i/>
          <w:iCs/>
          <w:sz w:val="20"/>
          <w:szCs w:val="20"/>
          <w:lang w:val="en-US" w:eastAsia="zh-CN"/>
        </w:rPr>
        <w:t>the RSRP change threshold validation criterion can be applied for different SRS resource sets separately</w:t>
      </w:r>
    </w:p>
    <w:p>
      <w:pPr>
        <w:numPr>
          <w:ilvl w:val="2"/>
          <w:numId w:val="4"/>
        </w:numPr>
        <w:adjustRightInd w:val="0"/>
        <w:snapToGrid w:val="0"/>
        <w:spacing w:after="0" w:line="240" w:lineRule="auto"/>
        <w:contextualSpacing/>
        <w:jc w:val="both"/>
        <w:rPr>
          <w:b/>
          <w:bCs/>
          <w:i/>
          <w:iCs/>
        </w:rPr>
      </w:pPr>
      <w:r>
        <w:rPr>
          <w:rFonts w:hint="eastAsia" w:ascii="Times New Roman" w:hAnsi="Times New Roman" w:eastAsia="宋体"/>
          <w:b/>
          <w:bCs/>
          <w:i/>
          <w:iCs/>
          <w:sz w:val="20"/>
          <w:szCs w:val="20"/>
        </w:rPr>
        <w:t>UE can adopt the pathloss RS for both SRS transmission power calculation and for TA validation</w:t>
      </w:r>
    </w:p>
    <w:p>
      <w:pPr>
        <w:numPr>
          <w:ilvl w:val="0"/>
          <w:numId w:val="0"/>
        </w:numPr>
        <w:adjustRightInd w:val="0"/>
        <w:snapToGrid w:val="0"/>
        <w:spacing w:after="0" w:line="240" w:lineRule="auto"/>
        <w:ind w:left="1800" w:leftChars="0"/>
        <w:contextualSpacing/>
        <w:jc w:val="both"/>
        <w:rPr>
          <w:b/>
          <w:bCs/>
          <w:i/>
          <w:iCs/>
        </w:rPr>
      </w:pPr>
    </w:p>
    <w:p>
      <w:pPr>
        <w:adjustRightInd w:val="0"/>
        <w:snapToGrid w:val="0"/>
        <w:spacing w:after="0" w:line="240" w:lineRule="auto"/>
        <w:jc w:val="both"/>
        <w:rPr>
          <w:rFonts w:hint="eastAsia" w:ascii="Times New Roman" w:hAnsi="Times New Roman"/>
          <w:b/>
          <w:bCs/>
          <w:i/>
          <w:iCs/>
          <w:sz w:val="20"/>
          <w:szCs w:val="20"/>
          <w:lang w:val="en-US" w:eastAsia="zh-CN"/>
        </w:rPr>
      </w:pPr>
      <w:r>
        <w:rPr>
          <w:rFonts w:hint="eastAsia" w:ascii="Times New Roman" w:hAnsi="Times New Roman"/>
          <w:b/>
          <w:bCs/>
          <w:sz w:val="20"/>
          <w:szCs w:val="20"/>
        </w:rPr>
        <w:fldChar w:fldCharType="begin"/>
      </w:r>
      <w:r>
        <w:rPr>
          <w:rFonts w:hint="eastAsia" w:ascii="Times New Roman" w:hAnsi="Times New Roman"/>
          <w:b/>
          <w:bCs/>
          <w:sz w:val="20"/>
          <w:szCs w:val="20"/>
        </w:rPr>
        <w:instrText xml:space="preserve"> REF _Ref12663 \h </w:instrText>
      </w:r>
      <w:r>
        <w:rPr>
          <w:rFonts w:hint="eastAsia" w:ascii="Times New Roman" w:hAnsi="Times New Roman"/>
          <w:b/>
          <w:bCs/>
          <w:sz w:val="20"/>
          <w:szCs w:val="20"/>
        </w:rPr>
        <w:fldChar w:fldCharType="separate"/>
      </w:r>
      <w:r>
        <w:rPr>
          <w:rFonts w:ascii="Times New Roman" w:hAnsi="Times New Roman"/>
          <w:b/>
          <w:bCs/>
          <w:i/>
          <w:iCs/>
          <w:sz w:val="20"/>
          <w:szCs w:val="20"/>
        </w:rPr>
        <w:t>Proposal 3:</w:t>
      </w:r>
      <w:r>
        <w:rPr>
          <w:rFonts w:hint="eastAsia" w:ascii="Times New Roman" w:hAnsi="Times New Roman"/>
          <w:b/>
          <w:bCs/>
          <w:i/>
          <w:iCs/>
          <w:sz w:val="20"/>
          <w:szCs w:val="20"/>
        </w:rPr>
        <w:t xml:space="preserve"> For option 1, if pathloss RS is absent in the configuration,</w:t>
      </w:r>
      <w:r>
        <w:rPr>
          <w:rFonts w:hint="eastAsia" w:ascii="Times New Roman" w:hAnsi="Times New Roman"/>
          <w:b/>
          <w:bCs/>
          <w:i/>
          <w:iCs/>
          <w:sz w:val="20"/>
          <w:szCs w:val="20"/>
          <w:lang w:val="en-US" w:eastAsia="zh-CN"/>
        </w:rPr>
        <w:t xml:space="preserve"> the following pathloss RS selection method should be supported:</w:t>
      </w:r>
    </w:p>
    <w:p>
      <w:pPr>
        <w:numPr>
          <w:ilvl w:val="0"/>
          <w:numId w:val="10"/>
        </w:numPr>
        <w:adjustRightInd w:val="0"/>
        <w:snapToGrid w:val="0"/>
        <w:spacing w:after="0" w:line="240" w:lineRule="auto"/>
        <w:ind w:left="420" w:leftChars="0" w:hanging="420" w:firstLineChars="0"/>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Support gNB configuring a criterion on beam measurement quantity value for pathloss RS.</w:t>
      </w:r>
    </w:p>
    <w:p>
      <w:pPr>
        <w:numPr>
          <w:ilvl w:val="0"/>
          <w:numId w:val="10"/>
        </w:numPr>
        <w:adjustRightInd w:val="0"/>
        <w:snapToGrid w:val="0"/>
        <w:spacing w:after="0" w:line="240" w:lineRule="auto"/>
        <w:ind w:left="420" w:leftChars="0" w:hanging="420" w:firstLineChars="0"/>
        <w:jc w:val="both"/>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Support UE selecting pathloss RS with smaller RSRP value from the signals that meets the configured criterion.</w:t>
      </w:r>
    </w:p>
    <w:p>
      <w:pPr>
        <w:adjustRightInd w:val="0"/>
        <w:snapToGrid w:val="0"/>
        <w:spacing w:before="180" w:beforeLines="50" w:after="0" w:line="240" w:lineRule="auto"/>
        <w:jc w:val="both"/>
        <w:rPr>
          <w:rFonts w:ascii="Times New Roman" w:hAnsi="Times New Roman"/>
          <w:b/>
          <w:bCs/>
          <w:sz w:val="20"/>
          <w:szCs w:val="20"/>
        </w:rPr>
      </w:pPr>
      <w:r>
        <w:rPr>
          <w:rFonts w:hint="eastAsia" w:ascii="Times New Roman" w:hAnsi="Times New Roman"/>
          <w:b/>
          <w:bCs/>
          <w:sz w:val="20"/>
          <w:szCs w:val="20"/>
        </w:rPr>
        <w:fldChar w:fldCharType="end"/>
      </w:r>
      <w:r>
        <w:rPr>
          <w:rFonts w:hint="eastAsia" w:ascii="Times New Roman" w:hAnsi="Times New Roman"/>
          <w:b/>
          <w:bCs/>
          <w:sz w:val="20"/>
          <w:szCs w:val="20"/>
        </w:rPr>
        <w:fldChar w:fldCharType="begin"/>
      </w:r>
      <w:r>
        <w:rPr>
          <w:rFonts w:hint="eastAsia" w:ascii="Times New Roman" w:hAnsi="Times New Roman"/>
          <w:b/>
          <w:bCs/>
          <w:sz w:val="20"/>
          <w:szCs w:val="20"/>
        </w:rPr>
        <w:instrText xml:space="preserve"> REF _Ref12669 \h </w:instrText>
      </w:r>
      <w:r>
        <w:rPr>
          <w:rFonts w:hint="eastAsia" w:ascii="Times New Roman" w:hAnsi="Times New Roman"/>
          <w:b/>
          <w:bCs/>
          <w:sz w:val="20"/>
          <w:szCs w:val="20"/>
        </w:rPr>
        <w:fldChar w:fldCharType="separate"/>
      </w:r>
      <w:r>
        <w:rPr>
          <w:rFonts w:ascii="Times New Roman" w:hAnsi="Times New Roman"/>
          <w:b/>
          <w:bCs/>
          <w:i/>
          <w:iCs/>
          <w:sz w:val="20"/>
          <w:szCs w:val="20"/>
        </w:rPr>
        <w:t xml:space="preserve">Proposal 4: For option </w:t>
      </w:r>
      <w:r>
        <w:rPr>
          <w:rFonts w:hint="eastAsia" w:ascii="Times New Roman" w:hAnsi="Times New Roman"/>
          <w:b/>
          <w:bCs/>
          <w:i/>
          <w:iCs/>
          <w:sz w:val="20"/>
          <w:szCs w:val="20"/>
        </w:rPr>
        <w:t>2</w:t>
      </w:r>
      <w:r>
        <w:rPr>
          <w:rFonts w:ascii="Times New Roman" w:hAnsi="Times New Roman"/>
          <w:b/>
          <w:bCs/>
          <w:i/>
          <w:iCs/>
          <w:sz w:val="20"/>
          <w:szCs w:val="20"/>
        </w:rPr>
        <w:t xml:space="preserve">, if pathloss RS is </w:t>
      </w:r>
      <w:r>
        <w:rPr>
          <w:rFonts w:hint="eastAsia" w:ascii="Times New Roman" w:hAnsi="Times New Roman"/>
          <w:b/>
          <w:bCs/>
          <w:i/>
          <w:iCs/>
          <w:sz w:val="20"/>
          <w:szCs w:val="20"/>
        </w:rPr>
        <w:t xml:space="preserve">provided </w:t>
      </w:r>
      <w:r>
        <w:rPr>
          <w:rFonts w:ascii="Times New Roman" w:hAnsi="Times New Roman"/>
          <w:b/>
          <w:bCs/>
          <w:i/>
          <w:iCs/>
          <w:sz w:val="20"/>
          <w:szCs w:val="20"/>
        </w:rPr>
        <w:t xml:space="preserve">in the configuration, the following configuration can be </w:t>
      </w:r>
      <w:r>
        <w:rPr>
          <w:rFonts w:hint="eastAsia" w:ascii="Times New Roman" w:hAnsi="Times New Roman"/>
          <w:b/>
          <w:bCs/>
          <w:i/>
          <w:iCs/>
          <w:sz w:val="20"/>
          <w:szCs w:val="20"/>
        </w:rPr>
        <w:t>considered</w:t>
      </w:r>
      <w:r>
        <w:rPr>
          <w:rFonts w:ascii="Times New Roman" w:hAnsi="Times New Roman"/>
          <w:b/>
          <w:bCs/>
          <w:i/>
          <w:iCs/>
          <w:sz w:val="20"/>
          <w:szCs w:val="20"/>
        </w:rPr>
        <w:t>:</w:t>
      </w:r>
      <w:r>
        <w:rPr>
          <w:rFonts w:hint="eastAsia" w:ascii="Times New Roman" w:hAnsi="Times New Roman"/>
          <w:b/>
          <w:bCs/>
          <w:sz w:val="20"/>
          <w:szCs w:val="20"/>
        </w:rPr>
        <w:fldChar w:fldCharType="end"/>
      </w:r>
    </w:p>
    <w:p>
      <w:pPr>
        <w:numPr>
          <w:ilvl w:val="0"/>
          <w:numId w:val="11"/>
        </w:numPr>
        <w:adjustRightInd w:val="0"/>
        <w:snapToGrid w:val="0"/>
        <w:spacing w:after="0" w:line="240" w:lineRule="auto"/>
        <w:jc w:val="both"/>
        <w:rPr>
          <w:rFonts w:ascii="Times New Roman" w:hAnsi="Times New Roman"/>
          <w:b/>
          <w:bCs/>
          <w:i/>
          <w:iCs/>
          <w:sz w:val="20"/>
          <w:szCs w:val="20"/>
        </w:rPr>
      </w:pPr>
      <w:r>
        <w:rPr>
          <w:rFonts w:ascii="Times New Roman" w:hAnsi="Times New Roman"/>
          <w:b/>
          <w:bCs/>
          <w:i/>
          <w:iCs/>
          <w:sz w:val="20"/>
          <w:szCs w:val="20"/>
        </w:rPr>
        <w:t>gNB configures a pathloss RS list or cell list for UE, UE can adopt or choose pathloss RS from the configured list.</w:t>
      </w:r>
    </w:p>
    <w:p>
      <w:pPr>
        <w:numPr>
          <w:ilvl w:val="0"/>
          <w:numId w:val="11"/>
        </w:numPr>
        <w:adjustRightInd w:val="0"/>
        <w:snapToGrid w:val="0"/>
        <w:spacing w:after="0" w:line="240" w:lineRule="auto"/>
        <w:jc w:val="both"/>
        <w:rPr>
          <w:rFonts w:ascii="Times New Roman" w:hAnsi="Times New Roman"/>
          <w:b/>
          <w:bCs/>
          <w:i/>
          <w:iCs/>
          <w:sz w:val="20"/>
          <w:szCs w:val="20"/>
        </w:rPr>
      </w:pPr>
      <w:r>
        <w:rPr>
          <w:rFonts w:ascii="Times New Roman" w:hAnsi="Times New Roman"/>
          <w:b/>
          <w:bCs/>
          <w:i/>
          <w:iCs/>
          <w:sz w:val="20"/>
          <w:szCs w:val="20"/>
        </w:rPr>
        <w:t xml:space="preserve">The last serving cell gNB configures multiple configurations of </w:t>
      </w:r>
      <w:r>
        <w:rPr>
          <w:rFonts w:hint="eastAsia" w:ascii="Times New Roman" w:hAnsi="Times New Roman"/>
          <w:b/>
          <w:bCs/>
          <w:i/>
          <w:iCs/>
          <w:sz w:val="20"/>
          <w:szCs w:val="20"/>
          <w:lang w:val="en-US" w:eastAsia="zh-CN"/>
        </w:rPr>
        <w:t>p</w:t>
      </w:r>
      <w:r>
        <w:rPr>
          <w:rFonts w:ascii="Times New Roman" w:hAnsi="Times New Roman"/>
          <w:b/>
          <w:bCs/>
          <w:i/>
          <w:iCs/>
          <w:sz w:val="20"/>
          <w:szCs w:val="20"/>
        </w:rPr>
        <w:t>athloss RS, where each configuration is for one cell in the valid area. And UE can automatically use the corresponding when UE camps on a new cell.</w:t>
      </w:r>
    </w:p>
    <w:p>
      <w:pPr>
        <w:adjustRightInd w:val="0"/>
        <w:snapToGrid w:val="0"/>
        <w:spacing w:before="180" w:beforeLines="50" w:after="180" w:afterLines="50" w:line="240" w:lineRule="auto"/>
        <w:jc w:val="both"/>
        <w:rPr>
          <w:rFonts w:ascii="Times New Roman" w:hAnsi="Times New Roman"/>
          <w:b/>
          <w:bCs/>
          <w:sz w:val="20"/>
          <w:szCs w:val="20"/>
        </w:rPr>
      </w:pPr>
      <w:r>
        <w:rPr>
          <w:rFonts w:hint="eastAsia" w:ascii="Times New Roman" w:hAnsi="Times New Roman"/>
          <w:b/>
          <w:bCs/>
          <w:sz w:val="20"/>
          <w:szCs w:val="20"/>
        </w:rPr>
        <w:fldChar w:fldCharType="begin"/>
      </w:r>
      <w:r>
        <w:rPr>
          <w:rFonts w:hint="eastAsia" w:ascii="Times New Roman" w:hAnsi="Times New Roman"/>
          <w:b/>
          <w:bCs/>
          <w:sz w:val="20"/>
          <w:szCs w:val="20"/>
        </w:rPr>
        <w:instrText xml:space="preserve"> REF _Ref12676 \h </w:instrText>
      </w:r>
      <w:r>
        <w:rPr>
          <w:rFonts w:hint="eastAsia" w:ascii="Times New Roman" w:hAnsi="Times New Roman"/>
          <w:b/>
          <w:bCs/>
          <w:sz w:val="20"/>
          <w:szCs w:val="20"/>
        </w:rPr>
        <w:fldChar w:fldCharType="separate"/>
      </w:r>
      <w:r>
        <w:rPr>
          <w:rFonts w:ascii="Times New Roman" w:hAnsi="Times New Roman"/>
          <w:b/>
          <w:bCs/>
          <w:i/>
          <w:iCs/>
          <w:sz w:val="20"/>
          <w:szCs w:val="20"/>
        </w:rPr>
        <w:t>Proposal 5:</w:t>
      </w:r>
      <w:r>
        <w:rPr>
          <w:rFonts w:hint="eastAsia" w:ascii="Times New Roman" w:hAnsi="Times New Roman"/>
          <w:b/>
          <w:bCs/>
          <w:i/>
          <w:iCs/>
          <w:sz w:val="20"/>
          <w:szCs w:val="20"/>
        </w:rPr>
        <w:t xml:space="preserve"> Support gNB configuring RSRP threshold for the validity criteria of pathloss RS, and UE will regard the pathloss RS as invalid if the validity criteria is not met.</w:t>
      </w:r>
      <w:r>
        <w:rPr>
          <w:rFonts w:hint="eastAsia" w:ascii="Times New Roman" w:hAnsi="Times New Roman"/>
          <w:b/>
          <w:bCs/>
          <w:sz w:val="20"/>
          <w:szCs w:val="20"/>
        </w:rPr>
        <w:fldChar w:fldCharType="end"/>
      </w:r>
    </w:p>
    <w:p>
      <w:pPr>
        <w:adjustRightInd w:val="0"/>
        <w:snapToGrid w:val="0"/>
        <w:spacing w:after="0" w:line="240" w:lineRule="auto"/>
        <w:jc w:val="both"/>
        <w:rPr>
          <w:rFonts w:hint="eastAsia" w:ascii="Times New Roman" w:hAnsi="Times New Roman"/>
          <w:b/>
          <w:bCs/>
          <w:i/>
          <w:iCs/>
          <w:sz w:val="20"/>
          <w:szCs w:val="20"/>
          <w:lang w:val="en-US" w:eastAsia="zh-CN"/>
        </w:rPr>
      </w:pPr>
      <w:r>
        <w:rPr>
          <w:rFonts w:hint="eastAsia" w:ascii="Times New Roman" w:hAnsi="Times New Roman"/>
          <w:b/>
          <w:bCs/>
          <w:sz w:val="20"/>
          <w:szCs w:val="20"/>
        </w:rPr>
        <w:fldChar w:fldCharType="begin"/>
      </w:r>
      <w:r>
        <w:rPr>
          <w:rFonts w:hint="eastAsia" w:ascii="Times New Roman" w:hAnsi="Times New Roman"/>
          <w:b/>
          <w:bCs/>
          <w:sz w:val="20"/>
          <w:szCs w:val="20"/>
        </w:rPr>
        <w:instrText xml:space="preserve"> REF _Ref12682 \h </w:instrText>
      </w:r>
      <w:r>
        <w:rPr>
          <w:rFonts w:hint="eastAsia" w:ascii="Times New Roman" w:hAnsi="Times New Roman"/>
          <w:b/>
          <w:bCs/>
          <w:sz w:val="20"/>
          <w:szCs w:val="20"/>
        </w:rPr>
        <w:fldChar w:fldCharType="separate"/>
      </w:r>
      <w:r>
        <w:rPr>
          <w:rFonts w:ascii="Times New Roman" w:hAnsi="Times New Roman"/>
          <w:b/>
          <w:bCs/>
          <w:i/>
          <w:iCs/>
          <w:sz w:val="20"/>
          <w:szCs w:val="20"/>
        </w:rPr>
        <w:t>Proposal 6:</w:t>
      </w:r>
      <w:r>
        <w:rPr>
          <w:rFonts w:hint="eastAsia" w:ascii="Times New Roman" w:hAnsi="Times New Roman"/>
          <w:b/>
          <w:bCs/>
          <w:i/>
          <w:iCs/>
          <w:sz w:val="20"/>
          <w:szCs w:val="20"/>
        </w:rPr>
        <w:t xml:space="preserve"> For option 1, if spatial relation is absent in the configuration,</w:t>
      </w:r>
      <w:r>
        <w:rPr>
          <w:rFonts w:ascii="Times New Roman" w:hAnsi="Times New Roman"/>
          <w:b/>
          <w:bCs/>
          <w:i/>
          <w:iCs/>
          <w:sz w:val="20"/>
          <w:szCs w:val="20"/>
        </w:rPr>
        <w:t xml:space="preserve"> </w:t>
      </w:r>
      <w:r>
        <w:rPr>
          <w:rFonts w:hint="eastAsia" w:ascii="Times New Roman" w:hAnsi="Times New Roman"/>
          <w:b/>
          <w:bCs/>
          <w:i/>
          <w:iCs/>
          <w:sz w:val="20"/>
          <w:szCs w:val="20"/>
        </w:rPr>
        <w:t xml:space="preserve">support choice 1a, i.e., </w:t>
      </w:r>
      <w:r>
        <w:rPr>
          <w:rFonts w:ascii="Times New Roman" w:hAnsi="Times New Roman"/>
          <w:b/>
          <w:bCs/>
          <w:i/>
          <w:iCs/>
          <w:sz w:val="20"/>
          <w:szCs w:val="20"/>
        </w:rPr>
        <w:t>UE transmits SRS for positioning resources using different spatial domain transmission filter</w:t>
      </w:r>
      <w:r>
        <w:rPr>
          <w:rFonts w:hint="eastAsia" w:ascii="Times New Roman" w:hAnsi="Times New Roman"/>
          <w:b/>
          <w:bCs/>
          <w:i/>
          <w:iCs/>
          <w:sz w:val="20"/>
          <w:szCs w:val="20"/>
        </w:rPr>
        <w:t xml:space="preserve">, </w:t>
      </w:r>
      <w:r>
        <w:rPr>
          <w:rFonts w:hint="eastAsia" w:ascii="Times New Roman" w:hAnsi="Times New Roman"/>
          <w:b/>
          <w:bCs/>
          <w:i/>
          <w:iCs/>
          <w:sz w:val="20"/>
          <w:szCs w:val="20"/>
          <w:lang w:val="en-US" w:eastAsia="zh-CN"/>
        </w:rPr>
        <w:t>and the following spatial relation selection method should be supported:</w:t>
      </w:r>
    </w:p>
    <w:p>
      <w:pPr>
        <w:numPr>
          <w:ilvl w:val="0"/>
          <w:numId w:val="10"/>
        </w:numPr>
        <w:adjustRightInd w:val="0"/>
        <w:snapToGrid w:val="0"/>
        <w:spacing w:after="0" w:line="240" w:lineRule="auto"/>
        <w:ind w:left="420" w:leftChars="0" w:hanging="420" w:firstLineChars="0"/>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Support gNB configuring a cell list for spatial relation selection.</w:t>
      </w:r>
    </w:p>
    <w:p>
      <w:pPr>
        <w:numPr>
          <w:ilvl w:val="0"/>
          <w:numId w:val="10"/>
        </w:numPr>
        <w:adjustRightInd w:val="0"/>
        <w:snapToGrid w:val="0"/>
        <w:spacing w:after="0" w:line="240" w:lineRule="auto"/>
        <w:ind w:left="420" w:leftChars="0" w:hanging="420" w:firstLineChars="0"/>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Support UE selecting spatial relation from respectively different cells.</w:t>
      </w:r>
    </w:p>
    <w:p>
      <w:pPr>
        <w:adjustRightInd w:val="0"/>
        <w:snapToGrid w:val="0"/>
        <w:spacing w:before="180" w:beforeLines="50" w:after="0" w:line="240" w:lineRule="auto"/>
        <w:jc w:val="both"/>
        <w:rPr>
          <w:rFonts w:ascii="Times New Roman" w:hAnsi="Times New Roman"/>
          <w:b/>
          <w:bCs/>
          <w:sz w:val="20"/>
          <w:szCs w:val="20"/>
        </w:rPr>
      </w:pPr>
      <w:r>
        <w:rPr>
          <w:rFonts w:hint="eastAsia" w:ascii="Times New Roman" w:hAnsi="Times New Roman"/>
          <w:b/>
          <w:bCs/>
          <w:sz w:val="20"/>
          <w:szCs w:val="20"/>
        </w:rPr>
        <w:fldChar w:fldCharType="end"/>
      </w:r>
      <w:bookmarkStart w:id="39" w:name="_GoBack"/>
      <w:bookmarkEnd w:id="39"/>
      <w:r>
        <w:rPr>
          <w:rFonts w:hint="eastAsia" w:ascii="Times New Roman" w:hAnsi="Times New Roman"/>
          <w:b/>
          <w:bCs/>
          <w:sz w:val="20"/>
          <w:szCs w:val="20"/>
        </w:rPr>
        <w:fldChar w:fldCharType="begin"/>
      </w:r>
      <w:r>
        <w:rPr>
          <w:rFonts w:hint="eastAsia" w:ascii="Times New Roman" w:hAnsi="Times New Roman"/>
          <w:b/>
          <w:bCs/>
          <w:sz w:val="20"/>
          <w:szCs w:val="20"/>
        </w:rPr>
        <w:instrText xml:space="preserve"> REF _Ref12685 \h </w:instrText>
      </w:r>
      <w:r>
        <w:rPr>
          <w:rFonts w:hint="eastAsia" w:ascii="Times New Roman" w:hAnsi="Times New Roman"/>
          <w:b/>
          <w:bCs/>
          <w:sz w:val="20"/>
          <w:szCs w:val="20"/>
        </w:rPr>
        <w:fldChar w:fldCharType="separate"/>
      </w:r>
      <w:r>
        <w:rPr>
          <w:rFonts w:ascii="Times New Roman" w:hAnsi="Times New Roman"/>
          <w:b/>
          <w:bCs/>
          <w:i/>
          <w:iCs/>
          <w:sz w:val="20"/>
          <w:szCs w:val="20"/>
        </w:rPr>
        <w:t xml:space="preserve">Proposal 7: For option </w:t>
      </w:r>
      <w:r>
        <w:rPr>
          <w:rFonts w:hint="eastAsia" w:ascii="Times New Roman" w:hAnsi="Times New Roman"/>
          <w:b/>
          <w:bCs/>
          <w:i/>
          <w:iCs/>
          <w:sz w:val="20"/>
          <w:szCs w:val="20"/>
        </w:rPr>
        <w:t>2</w:t>
      </w:r>
      <w:r>
        <w:rPr>
          <w:rFonts w:ascii="Times New Roman" w:hAnsi="Times New Roman"/>
          <w:b/>
          <w:bCs/>
          <w:i/>
          <w:iCs/>
          <w:sz w:val="20"/>
          <w:szCs w:val="20"/>
        </w:rPr>
        <w:t xml:space="preserve">, if </w:t>
      </w:r>
      <w:r>
        <w:rPr>
          <w:rFonts w:hint="eastAsia" w:ascii="Times New Roman" w:hAnsi="Times New Roman"/>
          <w:b/>
          <w:bCs/>
          <w:i/>
          <w:iCs/>
          <w:sz w:val="20"/>
          <w:szCs w:val="20"/>
        </w:rPr>
        <w:t>spatial relation</w:t>
      </w:r>
      <w:r>
        <w:rPr>
          <w:rFonts w:ascii="Times New Roman" w:hAnsi="Times New Roman"/>
          <w:b/>
          <w:bCs/>
          <w:i/>
          <w:iCs/>
          <w:sz w:val="20"/>
          <w:szCs w:val="20"/>
        </w:rPr>
        <w:t xml:space="preserve"> is absent in the configuration, the following configuration can be </w:t>
      </w:r>
      <w:r>
        <w:rPr>
          <w:rFonts w:hint="eastAsia" w:ascii="Times New Roman" w:hAnsi="Times New Roman"/>
          <w:b/>
          <w:bCs/>
          <w:i/>
          <w:iCs/>
          <w:sz w:val="20"/>
          <w:szCs w:val="20"/>
        </w:rPr>
        <w:t>considered</w:t>
      </w:r>
      <w:r>
        <w:rPr>
          <w:rFonts w:ascii="Times New Roman" w:hAnsi="Times New Roman"/>
          <w:b/>
          <w:bCs/>
          <w:i/>
          <w:iCs/>
          <w:sz w:val="20"/>
          <w:szCs w:val="20"/>
        </w:rPr>
        <w:t>:</w:t>
      </w:r>
      <w:r>
        <w:rPr>
          <w:rFonts w:hint="eastAsia" w:ascii="Times New Roman" w:hAnsi="Times New Roman"/>
          <w:b/>
          <w:bCs/>
          <w:sz w:val="20"/>
          <w:szCs w:val="20"/>
        </w:rPr>
        <w:fldChar w:fldCharType="end"/>
      </w:r>
    </w:p>
    <w:p>
      <w:pPr>
        <w:numPr>
          <w:ilvl w:val="0"/>
          <w:numId w:val="11"/>
        </w:numPr>
        <w:adjustRightInd w:val="0"/>
        <w:snapToGrid w:val="0"/>
        <w:spacing w:after="0" w:line="240" w:lineRule="auto"/>
        <w:jc w:val="both"/>
        <w:rPr>
          <w:rFonts w:ascii="Times New Roman" w:hAnsi="Times New Roman"/>
          <w:b/>
          <w:bCs/>
          <w:i/>
          <w:iCs/>
          <w:sz w:val="20"/>
          <w:szCs w:val="20"/>
        </w:rPr>
      </w:pPr>
      <w:r>
        <w:rPr>
          <w:rFonts w:ascii="Times New Roman" w:hAnsi="Times New Roman"/>
          <w:b/>
          <w:bCs/>
          <w:i/>
          <w:iCs/>
          <w:sz w:val="20"/>
          <w:szCs w:val="20"/>
        </w:rPr>
        <w:t xml:space="preserve">gNB configures a </w:t>
      </w:r>
      <w:r>
        <w:rPr>
          <w:rFonts w:hint="eastAsia" w:ascii="Times New Roman" w:hAnsi="Times New Roman"/>
          <w:b/>
          <w:bCs/>
          <w:i/>
          <w:iCs/>
          <w:sz w:val="20"/>
          <w:szCs w:val="20"/>
        </w:rPr>
        <w:t>spatial relation</w:t>
      </w:r>
      <w:r>
        <w:rPr>
          <w:rFonts w:ascii="Times New Roman" w:hAnsi="Times New Roman"/>
          <w:b/>
          <w:bCs/>
          <w:i/>
          <w:iCs/>
          <w:sz w:val="20"/>
          <w:szCs w:val="20"/>
        </w:rPr>
        <w:t xml:space="preserve"> list or cell list for UE, UE can adopt or choose </w:t>
      </w:r>
      <w:r>
        <w:rPr>
          <w:rFonts w:hint="eastAsia" w:ascii="Times New Roman" w:hAnsi="Times New Roman"/>
          <w:b/>
          <w:bCs/>
          <w:i/>
          <w:iCs/>
          <w:sz w:val="20"/>
          <w:szCs w:val="20"/>
        </w:rPr>
        <w:t>spatial relation</w:t>
      </w:r>
      <w:r>
        <w:rPr>
          <w:rFonts w:ascii="Times New Roman" w:hAnsi="Times New Roman"/>
          <w:b/>
          <w:bCs/>
          <w:i/>
          <w:iCs/>
          <w:sz w:val="20"/>
          <w:szCs w:val="20"/>
        </w:rPr>
        <w:t xml:space="preserve"> from the configured list.</w:t>
      </w:r>
    </w:p>
    <w:p>
      <w:pPr>
        <w:numPr>
          <w:ilvl w:val="0"/>
          <w:numId w:val="11"/>
        </w:numPr>
        <w:adjustRightInd w:val="0"/>
        <w:snapToGrid w:val="0"/>
        <w:spacing w:after="0" w:line="240" w:lineRule="auto"/>
        <w:jc w:val="both"/>
        <w:rPr>
          <w:rFonts w:ascii="Times New Roman" w:hAnsi="Times New Roman"/>
          <w:b/>
          <w:bCs/>
          <w:i/>
          <w:iCs/>
          <w:sz w:val="20"/>
          <w:szCs w:val="20"/>
        </w:rPr>
      </w:pPr>
      <w:r>
        <w:rPr>
          <w:rFonts w:ascii="Times New Roman" w:hAnsi="Times New Roman"/>
          <w:b/>
          <w:bCs/>
          <w:i/>
          <w:iCs/>
          <w:sz w:val="20"/>
          <w:szCs w:val="20"/>
        </w:rPr>
        <w:t xml:space="preserve">The last serving cell gNB configures multiple configurations of </w:t>
      </w:r>
      <w:r>
        <w:rPr>
          <w:rFonts w:hint="eastAsia" w:ascii="Times New Roman" w:hAnsi="Times New Roman"/>
          <w:b/>
          <w:bCs/>
          <w:i/>
          <w:iCs/>
          <w:sz w:val="20"/>
          <w:szCs w:val="20"/>
        </w:rPr>
        <w:t>spatial relation</w:t>
      </w:r>
      <w:r>
        <w:rPr>
          <w:rFonts w:ascii="Times New Roman" w:hAnsi="Times New Roman"/>
          <w:b/>
          <w:bCs/>
          <w:i/>
          <w:iCs/>
          <w:sz w:val="20"/>
          <w:szCs w:val="20"/>
        </w:rPr>
        <w:t>, where each configuration is for one cell in the valid area. And UE can automatically use the corresponding when UE camps on a new cell.</w:t>
      </w:r>
    </w:p>
    <w:p>
      <w:pPr>
        <w:adjustRightInd w:val="0"/>
        <w:snapToGrid w:val="0"/>
        <w:spacing w:before="180" w:beforeLines="50" w:after="0" w:line="240" w:lineRule="auto"/>
        <w:jc w:val="both"/>
        <w:rPr>
          <w:rFonts w:ascii="Times New Roman" w:hAnsi="Times New Roman"/>
          <w:b/>
          <w:bCs/>
          <w:sz w:val="20"/>
          <w:szCs w:val="20"/>
        </w:rPr>
      </w:pPr>
      <w:r>
        <w:rPr>
          <w:rFonts w:hint="eastAsia" w:ascii="Times New Roman" w:hAnsi="Times New Roman"/>
          <w:b/>
          <w:bCs/>
          <w:sz w:val="20"/>
          <w:szCs w:val="20"/>
        </w:rPr>
        <w:fldChar w:fldCharType="begin"/>
      </w:r>
      <w:r>
        <w:rPr>
          <w:rFonts w:hint="eastAsia" w:ascii="Times New Roman" w:hAnsi="Times New Roman"/>
          <w:b/>
          <w:bCs/>
          <w:sz w:val="20"/>
          <w:szCs w:val="20"/>
        </w:rPr>
        <w:instrText xml:space="preserve"> REF _Ref12692 \h </w:instrText>
      </w:r>
      <w:r>
        <w:rPr>
          <w:rFonts w:hint="eastAsia" w:ascii="Times New Roman" w:hAnsi="Times New Roman"/>
          <w:b/>
          <w:bCs/>
          <w:sz w:val="20"/>
          <w:szCs w:val="20"/>
        </w:rPr>
        <w:fldChar w:fldCharType="separate"/>
      </w:r>
      <w:r>
        <w:rPr>
          <w:rFonts w:ascii="Times New Roman" w:hAnsi="Times New Roman"/>
          <w:b/>
          <w:bCs/>
          <w:i/>
          <w:iCs/>
          <w:sz w:val="20"/>
          <w:szCs w:val="20"/>
        </w:rPr>
        <w:t>Proposal 8:</w:t>
      </w:r>
      <w:r>
        <w:rPr>
          <w:rFonts w:hint="eastAsia" w:ascii="Times New Roman" w:hAnsi="Times New Roman"/>
          <w:b/>
          <w:bCs/>
          <w:i/>
          <w:iCs/>
          <w:sz w:val="20"/>
          <w:szCs w:val="20"/>
        </w:rPr>
        <w:t xml:space="preserve"> Support gNB configuring RSRP threshold for the validity criteria of spatial relation. UE will regard the spatial relation as invalid if the validity criteria is not met.</w:t>
      </w:r>
      <w:r>
        <w:rPr>
          <w:rFonts w:hint="eastAsia" w:ascii="Times New Roman" w:hAnsi="Times New Roman"/>
          <w:b/>
          <w:bCs/>
          <w:sz w:val="20"/>
          <w:szCs w:val="20"/>
        </w:rPr>
        <w:fldChar w:fldCharType="end"/>
      </w:r>
    </w:p>
    <w:p>
      <w:pPr>
        <w:adjustRightInd w:val="0"/>
        <w:snapToGrid w:val="0"/>
        <w:spacing w:after="0" w:line="240" w:lineRule="auto"/>
        <w:jc w:val="both"/>
        <w:rPr>
          <w:rFonts w:ascii="Times New Roman" w:hAnsi="Times New Roman"/>
          <w:b/>
          <w:bCs/>
          <w:sz w:val="20"/>
          <w:szCs w:val="20"/>
        </w:rPr>
      </w:pPr>
      <w:r>
        <w:rPr>
          <w:rFonts w:hint="eastAsia" w:ascii="Times New Roman" w:hAnsi="Times New Roman"/>
          <w:b/>
          <w:bCs/>
          <w:i/>
          <w:iCs/>
          <w:sz w:val="20"/>
          <w:szCs w:val="20"/>
        </w:rPr>
        <w:t>Note: gNB may configure the same RSRP threshold for both pathloss RS and spatial relation.</w:t>
      </w:r>
    </w:p>
    <w:p>
      <w:pPr>
        <w:adjustRightInd w:val="0"/>
        <w:snapToGrid w:val="0"/>
        <w:spacing w:before="180" w:beforeLines="50" w:after="180" w:afterLines="50" w:line="240" w:lineRule="auto"/>
        <w:jc w:val="both"/>
        <w:rPr>
          <w:rFonts w:ascii="Times New Roman" w:hAnsi="Times New Roman"/>
          <w:b/>
          <w:bCs/>
          <w:sz w:val="20"/>
          <w:szCs w:val="20"/>
        </w:rPr>
      </w:pPr>
      <w:r>
        <w:rPr>
          <w:rFonts w:hint="eastAsia" w:ascii="Times New Roman" w:hAnsi="Times New Roman"/>
          <w:b/>
          <w:bCs/>
          <w:sz w:val="20"/>
          <w:szCs w:val="20"/>
        </w:rPr>
        <w:fldChar w:fldCharType="begin"/>
      </w:r>
      <w:r>
        <w:rPr>
          <w:rFonts w:hint="eastAsia" w:ascii="Times New Roman" w:hAnsi="Times New Roman"/>
          <w:b/>
          <w:bCs/>
          <w:sz w:val="20"/>
          <w:szCs w:val="20"/>
        </w:rPr>
        <w:instrText xml:space="preserve"> REF _Ref12695 \h </w:instrText>
      </w:r>
      <w:r>
        <w:rPr>
          <w:rFonts w:hint="eastAsia" w:ascii="Times New Roman" w:hAnsi="Times New Roman"/>
          <w:b/>
          <w:bCs/>
          <w:sz w:val="20"/>
          <w:szCs w:val="20"/>
        </w:rPr>
        <w:fldChar w:fldCharType="separate"/>
      </w:r>
      <w:r>
        <w:rPr>
          <w:rFonts w:ascii="Times New Roman" w:hAnsi="Times New Roman"/>
          <w:b/>
          <w:bCs/>
          <w:i/>
          <w:iCs/>
          <w:sz w:val="20"/>
          <w:szCs w:val="20"/>
        </w:rPr>
        <w:t>Proposal 9:</w:t>
      </w:r>
      <w:r>
        <w:rPr>
          <w:rFonts w:hint="eastAsia" w:ascii="Times New Roman" w:hAnsi="Times New Roman"/>
          <w:b/>
          <w:bCs/>
          <w:i/>
          <w:iCs/>
          <w:sz w:val="20"/>
          <w:szCs w:val="20"/>
        </w:rPr>
        <w:t xml:space="preserve"> Support gNB configuring sequenceId commonly across cells within the validity area.</w:t>
      </w:r>
      <w:r>
        <w:rPr>
          <w:rFonts w:hint="eastAsia" w:ascii="Times New Roman" w:hAnsi="Times New Roman"/>
          <w:b/>
          <w:bCs/>
          <w:sz w:val="20"/>
          <w:szCs w:val="20"/>
        </w:rPr>
        <w:fldChar w:fldCharType="end"/>
      </w:r>
    </w:p>
    <w:p>
      <w:pPr>
        <w:pStyle w:val="15"/>
        <w:adjustRightInd w:val="0"/>
        <w:snapToGrid w:val="0"/>
        <w:spacing w:before="180" w:beforeLines="50" w:after="180" w:afterLines="50"/>
        <w:jc w:val="both"/>
        <w:rPr>
          <w:lang w:val="en-US"/>
        </w:rPr>
      </w:pPr>
      <w:r>
        <w:rPr>
          <w:lang w:val="en-US"/>
        </w:rPr>
        <w:fldChar w:fldCharType="begin"/>
      </w:r>
      <w:r>
        <w:rPr>
          <w:lang w:val="en-US"/>
        </w:rPr>
        <w:instrText xml:space="preserve"> REF _Ref16829 \h </w:instrText>
      </w:r>
      <w:r>
        <w:rPr>
          <w:lang w:val="en-US"/>
        </w:rPr>
        <w:fldChar w:fldCharType="separate"/>
      </w:r>
      <w:r>
        <w:rPr>
          <w:i/>
          <w:iCs/>
        </w:rPr>
        <w:t>Proposal 10</w:t>
      </w:r>
      <w:r>
        <w:rPr>
          <w:i/>
          <w:iCs/>
          <w:lang w:val="en-US" w:eastAsia="zh-CN"/>
        </w:rPr>
        <w:t xml:space="preserve">: Support SRS pre-configuration </w:t>
      </w:r>
      <w:r>
        <w:rPr>
          <w:rFonts w:hint="eastAsia"/>
          <w:i/>
          <w:iCs/>
          <w:lang w:val="en-US" w:eastAsia="zh-CN"/>
        </w:rPr>
        <w:t>for multiple cells</w:t>
      </w:r>
      <w:r>
        <w:rPr>
          <w:i/>
          <w:iCs/>
          <w:lang w:val="en-US" w:eastAsia="zh-CN"/>
        </w:rPr>
        <w:t xml:space="preserve"> to avoid frequent RRC connection for SRS (re)configuration.</w:t>
      </w:r>
      <w:r>
        <w:rPr>
          <w:lang w:val="en-US"/>
        </w:rPr>
        <w:fldChar w:fldCharType="end"/>
      </w:r>
    </w:p>
    <w:p>
      <w:pPr>
        <w:pStyle w:val="15"/>
        <w:adjustRightInd w:val="0"/>
        <w:snapToGrid w:val="0"/>
        <w:spacing w:before="180" w:beforeLines="50" w:after="180" w:afterLines="50"/>
        <w:jc w:val="both"/>
        <w:rPr>
          <w:lang w:val="en-US"/>
        </w:rPr>
      </w:pPr>
      <w:r>
        <w:rPr>
          <w:lang w:val="en-US"/>
        </w:rPr>
        <w:fldChar w:fldCharType="begin"/>
      </w:r>
      <w:r>
        <w:rPr>
          <w:lang w:val="en-US"/>
        </w:rPr>
        <w:instrText xml:space="preserve"> REF _Ref16832 \h </w:instrText>
      </w:r>
      <w:r>
        <w:rPr>
          <w:lang w:val="en-US"/>
        </w:rPr>
        <w:fldChar w:fldCharType="separate"/>
      </w:r>
      <w:r>
        <w:rPr>
          <w:i/>
          <w:iCs/>
        </w:rPr>
        <w:t>Proposal 11</w:t>
      </w:r>
      <w:r>
        <w:rPr>
          <w:i/>
          <w:iCs/>
          <w:lang w:val="en-US" w:eastAsia="zh-CN"/>
        </w:rPr>
        <w:t>: Whether support SDT for positioning SRS activation/request can be decided by RAN2.</w:t>
      </w:r>
      <w:r>
        <w:rPr>
          <w:lang w:val="en-US"/>
        </w:rPr>
        <w:fldChar w:fldCharType="end"/>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 xml:space="preserve">Reference </w:t>
      </w:r>
    </w:p>
    <w:p>
      <w:pPr>
        <w:numPr>
          <w:ilvl w:val="0"/>
          <w:numId w:val="12"/>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Draft Report of 3GPP TSG RAN WG1 #112 v0.4.0</w:t>
      </w:r>
      <w:r>
        <w:rPr>
          <w:rFonts w:hint="eastAsia" w:ascii="Times New Roman" w:hAnsi="Times New Roman" w:eastAsia="宋体"/>
          <w:sz w:val="20"/>
          <w:szCs w:val="20"/>
        </w:rPr>
        <w:t xml:space="preserve"> </w:t>
      </w:r>
      <w:r>
        <w:rPr>
          <w:rFonts w:ascii="Times New Roman" w:hAnsi="Times New Roman" w:eastAsia="宋体"/>
          <w:sz w:val="20"/>
          <w:szCs w:val="20"/>
        </w:rPr>
        <w:t>(Athens, Greece, 27th February – 3rd March 2023)</w:t>
      </w:r>
      <w:r>
        <w:rPr>
          <w:rFonts w:hint="eastAsia" w:ascii="Times New Roman" w:hAnsi="Times New Roman" w:eastAsia="宋体"/>
          <w:sz w:val="20"/>
          <w:szCs w:val="20"/>
        </w:rPr>
        <w:t>.</w:t>
      </w:r>
    </w:p>
    <w:p>
      <w:pPr>
        <w:numPr>
          <w:ilvl w:val="0"/>
          <w:numId w:val="12"/>
        </w:numPr>
        <w:autoSpaceDE w:val="0"/>
        <w:autoSpaceDN w:val="0"/>
        <w:adjustRightInd w:val="0"/>
        <w:snapToGrid w:val="0"/>
        <w:spacing w:after="0" w:line="240" w:lineRule="auto"/>
        <w:rPr>
          <w:rFonts w:ascii="Times New Roman" w:hAnsi="Times New Roman" w:eastAsia="宋体"/>
          <w:sz w:val="20"/>
          <w:szCs w:val="20"/>
        </w:rPr>
      </w:pPr>
      <w:r>
        <w:rPr>
          <w:rFonts w:hint="eastAsia" w:ascii="Times New Roman" w:hAnsi="Times New Roman" w:eastAsia="宋体"/>
          <w:color w:val="000000"/>
          <w:sz w:val="20"/>
          <w:szCs w:val="20"/>
        </w:rPr>
        <w:t>Report of 3GPP TSG RAN WG2 meeting #116-e, 2021-11</w:t>
      </w:r>
      <w:r>
        <w:rPr>
          <w:rFonts w:ascii="Times New Roman" w:hAnsi="Times New Roman" w:eastAsia="宋体"/>
          <w:sz w:val="20"/>
          <w:szCs w:val="20"/>
        </w:rPr>
        <w:t>.</w:t>
      </w:r>
    </w:p>
    <w:p>
      <w:pPr>
        <w:numPr>
          <w:ilvl w:val="0"/>
          <w:numId w:val="12"/>
        </w:numPr>
        <w:autoSpaceDE w:val="0"/>
        <w:autoSpaceDN w:val="0"/>
        <w:adjustRightInd w:val="0"/>
        <w:snapToGrid w:val="0"/>
        <w:spacing w:after="0" w:line="240" w:lineRule="auto"/>
        <w:rPr>
          <w:rFonts w:ascii="Times New Roman" w:hAnsi="Times New Roman" w:eastAsia="宋体"/>
          <w:sz w:val="20"/>
          <w:szCs w:val="20"/>
        </w:rPr>
      </w:pPr>
      <w:r>
        <w:rPr>
          <w:rFonts w:hint="eastAsia" w:ascii="Times New Roman" w:hAnsi="Times New Roman" w:eastAsia="宋体"/>
          <w:color w:val="000000"/>
          <w:sz w:val="20"/>
          <w:szCs w:val="20"/>
        </w:rPr>
        <w:t>Report of 3GPP TSG RAN WG2 meeting #117-e, 2022-03</w:t>
      </w:r>
      <w:r>
        <w:rPr>
          <w:rFonts w:ascii="Times New Roman" w:hAnsi="Times New Roman" w:eastAsia="宋体"/>
          <w:sz w:val="20"/>
          <w:szCs w:val="20"/>
        </w:rPr>
        <w:t>.</w:t>
      </w:r>
    </w:p>
    <w:p>
      <w:pPr>
        <w:numPr>
          <w:ilvl w:val="0"/>
          <w:numId w:val="12"/>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 xml:space="preserve">TS 38.321, Medium Access Control (MAC) </w:t>
      </w:r>
      <w:r>
        <w:rPr>
          <w:rFonts w:hint="eastAsia" w:ascii="Times New Roman" w:hAnsi="Times New Roman" w:eastAsia="宋体"/>
          <w:sz w:val="20"/>
          <w:szCs w:val="20"/>
        </w:rPr>
        <w:t>P</w:t>
      </w:r>
      <w:r>
        <w:rPr>
          <w:rFonts w:ascii="Times New Roman" w:hAnsi="Times New Roman" w:eastAsia="宋体"/>
          <w:sz w:val="20"/>
          <w:szCs w:val="20"/>
        </w:rPr>
        <w:t>rotocol specification.</w:t>
      </w:r>
    </w:p>
    <w:p>
      <w:pPr>
        <w:numPr>
          <w:ilvl w:val="0"/>
          <w:numId w:val="12"/>
        </w:numPr>
        <w:autoSpaceDE w:val="0"/>
        <w:autoSpaceDN w:val="0"/>
        <w:adjustRightInd w:val="0"/>
        <w:snapToGrid w:val="0"/>
        <w:spacing w:after="0" w:line="240" w:lineRule="auto"/>
        <w:jc w:val="both"/>
        <w:rPr>
          <w:rFonts w:ascii="Times New Roman" w:hAnsi="Times New Roman" w:eastAsia="宋体"/>
          <w:sz w:val="20"/>
          <w:szCs w:val="20"/>
        </w:rPr>
      </w:pPr>
      <w:r>
        <w:rPr>
          <w:rFonts w:hint="eastAsia" w:ascii="Times New Roman" w:hAnsi="Times New Roman" w:eastAsia="宋体"/>
          <w:sz w:val="20"/>
          <w:szCs w:val="20"/>
        </w:rPr>
        <w:t>TS 38.331, Radio Resource Control (RRC) Protocol specification.</w:t>
      </w:r>
    </w:p>
    <w:p>
      <w:pPr>
        <w:autoSpaceDE w:val="0"/>
        <w:autoSpaceDN w:val="0"/>
        <w:adjustRightInd w:val="0"/>
        <w:snapToGrid w:val="0"/>
        <w:spacing w:after="0" w:line="240" w:lineRule="auto"/>
        <w:jc w:val="both"/>
        <w:rPr>
          <w:rFonts w:ascii="Times New Roman" w:hAnsi="Times New Roman" w:eastAsia="宋体"/>
          <w:sz w:val="20"/>
          <w:szCs w:val="20"/>
        </w:rPr>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imes-Roman">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4246737"/>
    </w:sdtPr>
    <w:sdtContent>
      <w:p>
        <w:pPr>
          <w:pStyle w:val="23"/>
          <w:jc w:val="center"/>
        </w:pPr>
        <w:r>
          <w:fldChar w:fldCharType="begin"/>
        </w:r>
        <w:r>
          <w:instrText xml:space="preserve"> PAGE   \* MERGEFORMAT </w:instrText>
        </w:r>
        <w:r>
          <w:fldChar w:fldCharType="separate"/>
        </w:r>
        <w:r>
          <w:rPr>
            <w:lang w:val="zh-CN"/>
          </w:rPr>
          <w:t>14</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AAF7BD4F"/>
    <w:multiLevelType w:val="multilevel"/>
    <w:tmpl w:val="AAF7BD4F"/>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5" w:hanging="575"/>
      </w:pPr>
      <w:rPr>
        <w:rFonts w:hint="default" w:ascii="Times New Roman" w:hAnsi="Times New Roman" w:eastAsia="宋体" w:cs="Times New Roman"/>
      </w:rPr>
    </w:lvl>
    <w:lvl w:ilvl="2" w:tentative="0">
      <w:start w:val="1"/>
      <w:numFmt w:val="decimal"/>
      <w:pStyle w:val="4"/>
      <w:lvlText w:val="%1.%2.%3."/>
      <w:lvlJc w:val="left"/>
      <w:pPr>
        <w:ind w:left="720" w:hanging="720"/>
      </w:pPr>
      <w:rPr>
        <w:rFonts w:hint="default" w:ascii="Times New Roman" w:hAnsi="Times New Roman" w:eastAsia="宋体" w:cs="Times New Roman"/>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BD04E87F"/>
    <w:multiLevelType w:val="singleLevel"/>
    <w:tmpl w:val="BD04E87F"/>
    <w:lvl w:ilvl="0" w:tentative="0">
      <w:start w:val="1"/>
      <w:numFmt w:val="bullet"/>
      <w:lvlText w:val="•"/>
      <w:lvlJc w:val="left"/>
      <w:pPr>
        <w:ind w:left="420" w:hanging="420"/>
      </w:pPr>
      <w:rPr>
        <w:rFonts w:hint="default" w:ascii="Times New Roman" w:hAnsi="Times New Roman" w:cs="Times New Roman"/>
      </w:rPr>
    </w:lvl>
  </w:abstractNum>
  <w:abstractNum w:abstractNumId="3">
    <w:nsid w:val="2DAA7BCD"/>
    <w:multiLevelType w:val="multilevel"/>
    <w:tmpl w:val="2DAA7BCD"/>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Symbol" w:hAnsi="Symbol"/>
        <w:color w:val="auto"/>
      </w:rPr>
    </w:lvl>
    <w:lvl w:ilvl="2" w:tentative="0">
      <w:start w:val="1"/>
      <w:numFmt w:val="bullet"/>
      <w:lvlText w:val="o"/>
      <w:lvlJc w:val="left"/>
      <w:pPr>
        <w:ind w:left="1260" w:hanging="420"/>
      </w:pPr>
      <w:rPr>
        <w:rFonts w:hint="default" w:ascii="Courier New" w:hAnsi="Courier New" w:cs="Courier New"/>
      </w:rPr>
    </w:lvl>
    <w:lvl w:ilvl="3" w:tentative="0">
      <w:start w:val="0"/>
      <w:numFmt w:val="bullet"/>
      <w:lvlText w:val="-"/>
      <w:lvlJc w:val="left"/>
      <w:pPr>
        <w:ind w:left="1680" w:hanging="420"/>
      </w:pPr>
      <w:rPr>
        <w:rFonts w:hint="default" w:ascii="Times New Roman" w:hAnsi="Times New Roman" w:eastAsia="Malgun Gothic" w:cs="Times New Roman"/>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17F6AFB"/>
    <w:multiLevelType w:val="multilevel"/>
    <w:tmpl w:val="417F6AFB"/>
    <w:lvl w:ilvl="0" w:tentative="0">
      <w:start w:val="1"/>
      <w:numFmt w:val="bullet"/>
      <w:pStyle w:val="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426B4A38"/>
    <w:multiLevelType w:val="multilevel"/>
    <w:tmpl w:val="426B4A38"/>
    <w:lvl w:ilvl="0" w:tentative="0">
      <w:start w:val="1"/>
      <w:numFmt w:val="decimalZero"/>
      <w:pStyle w:val="112"/>
      <w:lvlText w:val="[00%1]"/>
      <w:lvlJc w:val="left"/>
      <w:pPr>
        <w:tabs>
          <w:tab w:val="left" w:pos="1080"/>
        </w:tabs>
        <w:ind w:left="0" w:firstLine="0"/>
      </w:pPr>
      <w:rPr>
        <w:rFonts w:hint="default"/>
        <w:b/>
        <w:i w:val="0"/>
        <w:color w:val="auto"/>
        <w:sz w:val="24"/>
        <w:szCs w:val="24"/>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6">
    <w:nsid w:val="4594152B"/>
    <w:multiLevelType w:val="singleLevel"/>
    <w:tmpl w:val="4594152B"/>
    <w:lvl w:ilvl="0" w:tentative="0">
      <w:start w:val="1"/>
      <w:numFmt w:val="bullet"/>
      <w:lvlText w:val=""/>
      <w:lvlJc w:val="left"/>
      <w:pPr>
        <w:ind w:left="420" w:hanging="420"/>
      </w:pPr>
      <w:rPr>
        <w:rFonts w:hint="default" w:ascii="Wingdings" w:hAnsi="Wingdings"/>
      </w:rPr>
    </w:lvl>
  </w:abstractNum>
  <w:abstractNum w:abstractNumId="7">
    <w:nsid w:val="4F95548B"/>
    <w:multiLevelType w:val="multilevel"/>
    <w:tmpl w:val="4F95548B"/>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5A9521ED"/>
    <w:multiLevelType w:val="singleLevel"/>
    <w:tmpl w:val="5A9521ED"/>
    <w:lvl w:ilvl="0" w:tentative="0">
      <w:start w:val="1"/>
      <w:numFmt w:val="bullet"/>
      <w:lvlText w:val=""/>
      <w:lvlJc w:val="left"/>
      <w:pPr>
        <w:ind w:left="420" w:hanging="420"/>
      </w:pPr>
      <w:rPr>
        <w:rFonts w:hint="default" w:ascii="Wingdings" w:hAnsi="Wingdings"/>
      </w:rPr>
    </w:lvl>
  </w:abstractNum>
  <w:abstractNum w:abstractNumId="9">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BFAFCF"/>
    <w:multiLevelType w:val="singleLevel"/>
    <w:tmpl w:val="79BFAFCF"/>
    <w:lvl w:ilvl="0" w:tentative="0">
      <w:start w:val="1"/>
      <w:numFmt w:val="decimal"/>
      <w:lvlText w:val="%1)"/>
      <w:lvlJc w:val="left"/>
      <w:pPr>
        <w:tabs>
          <w:tab w:val="left" w:pos="312"/>
        </w:tabs>
      </w:pPr>
    </w:lvl>
  </w:abstractNum>
  <w:abstractNum w:abstractNumId="11">
    <w:nsid w:val="79E38C71"/>
    <w:multiLevelType w:val="singleLevel"/>
    <w:tmpl w:val="79E38C71"/>
    <w:lvl w:ilvl="0" w:tentative="0">
      <w:start w:val="1"/>
      <w:numFmt w:val="bullet"/>
      <w:lvlText w:val=""/>
      <w:lvlJc w:val="left"/>
      <w:pPr>
        <w:ind w:left="420" w:hanging="420"/>
      </w:pPr>
      <w:rPr>
        <w:rFonts w:hint="default" w:ascii="Wingdings" w:hAnsi="Wingdings"/>
      </w:rPr>
    </w:lvl>
  </w:abstractNum>
  <w:num w:numId="1">
    <w:abstractNumId w:val="1"/>
  </w:num>
  <w:num w:numId="2">
    <w:abstractNumId w:val="4"/>
  </w:num>
  <w:num w:numId="3">
    <w:abstractNumId w:val="5"/>
  </w:num>
  <w:num w:numId="4">
    <w:abstractNumId w:val="9"/>
  </w:num>
  <w:num w:numId="5">
    <w:abstractNumId w:val="3"/>
  </w:num>
  <w:num w:numId="6">
    <w:abstractNumId w:val="2"/>
  </w:num>
  <w:num w:numId="7">
    <w:abstractNumId w:val="10"/>
  </w:num>
  <w:num w:numId="8">
    <w:abstractNumId w:val="7"/>
  </w:num>
  <w:num w:numId="9">
    <w:abstractNumId w:val="6"/>
  </w:num>
  <w:num w:numId="10">
    <w:abstractNumId w:val="11"/>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881"/>
    <w:rsid w:val="00003933"/>
    <w:rsid w:val="000039EF"/>
    <w:rsid w:val="00003B1A"/>
    <w:rsid w:val="0000404A"/>
    <w:rsid w:val="00004050"/>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7E9"/>
    <w:rsid w:val="00006A0E"/>
    <w:rsid w:val="00006AC9"/>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3CA"/>
    <w:rsid w:val="000144C4"/>
    <w:rsid w:val="00014536"/>
    <w:rsid w:val="00014604"/>
    <w:rsid w:val="000147D8"/>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0E8"/>
    <w:rsid w:val="00020141"/>
    <w:rsid w:val="000204F1"/>
    <w:rsid w:val="000206F4"/>
    <w:rsid w:val="000207A5"/>
    <w:rsid w:val="0002084D"/>
    <w:rsid w:val="0002096E"/>
    <w:rsid w:val="00020A7D"/>
    <w:rsid w:val="00020E84"/>
    <w:rsid w:val="000212A6"/>
    <w:rsid w:val="000213E7"/>
    <w:rsid w:val="00021473"/>
    <w:rsid w:val="00021825"/>
    <w:rsid w:val="00021E00"/>
    <w:rsid w:val="00021F07"/>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E4E"/>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A61"/>
    <w:rsid w:val="00031CF6"/>
    <w:rsid w:val="00032191"/>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2"/>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86C"/>
    <w:rsid w:val="00037895"/>
    <w:rsid w:val="000379A6"/>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8C3"/>
    <w:rsid w:val="000439BA"/>
    <w:rsid w:val="00043E28"/>
    <w:rsid w:val="00044032"/>
    <w:rsid w:val="0004418F"/>
    <w:rsid w:val="00044374"/>
    <w:rsid w:val="00044425"/>
    <w:rsid w:val="0004444D"/>
    <w:rsid w:val="00044C0B"/>
    <w:rsid w:val="00044E7A"/>
    <w:rsid w:val="00044F8A"/>
    <w:rsid w:val="00044FF3"/>
    <w:rsid w:val="00045271"/>
    <w:rsid w:val="0004566F"/>
    <w:rsid w:val="00045A40"/>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79E"/>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575"/>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5AC"/>
    <w:rsid w:val="000605D2"/>
    <w:rsid w:val="0006068C"/>
    <w:rsid w:val="00060696"/>
    <w:rsid w:val="000606EB"/>
    <w:rsid w:val="000608F1"/>
    <w:rsid w:val="00060D17"/>
    <w:rsid w:val="00060D2E"/>
    <w:rsid w:val="00061173"/>
    <w:rsid w:val="0006125B"/>
    <w:rsid w:val="00061449"/>
    <w:rsid w:val="00061786"/>
    <w:rsid w:val="000617E2"/>
    <w:rsid w:val="000618E0"/>
    <w:rsid w:val="00061A1F"/>
    <w:rsid w:val="0006241D"/>
    <w:rsid w:val="000624B4"/>
    <w:rsid w:val="00062642"/>
    <w:rsid w:val="00062822"/>
    <w:rsid w:val="0006284A"/>
    <w:rsid w:val="000629E4"/>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809"/>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24BB"/>
    <w:rsid w:val="00072519"/>
    <w:rsid w:val="000725B8"/>
    <w:rsid w:val="000728BF"/>
    <w:rsid w:val="0007296C"/>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3E4D"/>
    <w:rsid w:val="00084156"/>
    <w:rsid w:val="00084190"/>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0BB"/>
    <w:rsid w:val="000920F2"/>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487"/>
    <w:rsid w:val="000955EE"/>
    <w:rsid w:val="00096083"/>
    <w:rsid w:val="000961BF"/>
    <w:rsid w:val="000961DD"/>
    <w:rsid w:val="0009661E"/>
    <w:rsid w:val="00096D83"/>
    <w:rsid w:val="00096EAA"/>
    <w:rsid w:val="00096F56"/>
    <w:rsid w:val="00097059"/>
    <w:rsid w:val="00097067"/>
    <w:rsid w:val="00097071"/>
    <w:rsid w:val="00097072"/>
    <w:rsid w:val="00097945"/>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5D3"/>
    <w:rsid w:val="000A1619"/>
    <w:rsid w:val="000A17FC"/>
    <w:rsid w:val="000A18AD"/>
    <w:rsid w:val="000A19AB"/>
    <w:rsid w:val="000A19ED"/>
    <w:rsid w:val="000A1D48"/>
    <w:rsid w:val="000A225C"/>
    <w:rsid w:val="000A23D8"/>
    <w:rsid w:val="000A2499"/>
    <w:rsid w:val="000A24F6"/>
    <w:rsid w:val="000A2A87"/>
    <w:rsid w:val="000A2AFD"/>
    <w:rsid w:val="000A2C04"/>
    <w:rsid w:val="000A3204"/>
    <w:rsid w:val="000A3285"/>
    <w:rsid w:val="000A32A0"/>
    <w:rsid w:val="000A39D1"/>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88E"/>
    <w:rsid w:val="000A59FD"/>
    <w:rsid w:val="000A5B48"/>
    <w:rsid w:val="000A6303"/>
    <w:rsid w:val="000A6A7A"/>
    <w:rsid w:val="000A6BBF"/>
    <w:rsid w:val="000A6E7D"/>
    <w:rsid w:val="000A6F18"/>
    <w:rsid w:val="000A6F95"/>
    <w:rsid w:val="000A7108"/>
    <w:rsid w:val="000A737F"/>
    <w:rsid w:val="000A74B7"/>
    <w:rsid w:val="000A7781"/>
    <w:rsid w:val="000A78CB"/>
    <w:rsid w:val="000A7AA5"/>
    <w:rsid w:val="000A7FC3"/>
    <w:rsid w:val="000B0054"/>
    <w:rsid w:val="000B01BE"/>
    <w:rsid w:val="000B03D8"/>
    <w:rsid w:val="000B04C2"/>
    <w:rsid w:val="000B0608"/>
    <w:rsid w:val="000B079D"/>
    <w:rsid w:val="000B0953"/>
    <w:rsid w:val="000B0F7A"/>
    <w:rsid w:val="000B10D9"/>
    <w:rsid w:val="000B18E5"/>
    <w:rsid w:val="000B1BC4"/>
    <w:rsid w:val="000B2006"/>
    <w:rsid w:val="000B207B"/>
    <w:rsid w:val="000B2519"/>
    <w:rsid w:val="000B2A46"/>
    <w:rsid w:val="000B2A84"/>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A6A"/>
    <w:rsid w:val="000B7B43"/>
    <w:rsid w:val="000B7DA7"/>
    <w:rsid w:val="000B7E00"/>
    <w:rsid w:val="000B7F69"/>
    <w:rsid w:val="000C0034"/>
    <w:rsid w:val="000C00D7"/>
    <w:rsid w:val="000C01D5"/>
    <w:rsid w:val="000C0219"/>
    <w:rsid w:val="000C042D"/>
    <w:rsid w:val="000C050C"/>
    <w:rsid w:val="000C0620"/>
    <w:rsid w:val="000C080C"/>
    <w:rsid w:val="000C096B"/>
    <w:rsid w:val="000C0DB0"/>
    <w:rsid w:val="000C0EE8"/>
    <w:rsid w:val="000C0F2C"/>
    <w:rsid w:val="000C0FD3"/>
    <w:rsid w:val="000C101F"/>
    <w:rsid w:val="000C1168"/>
    <w:rsid w:val="000C1202"/>
    <w:rsid w:val="000C1254"/>
    <w:rsid w:val="000C17AB"/>
    <w:rsid w:val="000C1992"/>
    <w:rsid w:val="000C1B5F"/>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5C36"/>
    <w:rsid w:val="000C632B"/>
    <w:rsid w:val="000C6415"/>
    <w:rsid w:val="000C64C0"/>
    <w:rsid w:val="000C6A81"/>
    <w:rsid w:val="000C6BDA"/>
    <w:rsid w:val="000C6E60"/>
    <w:rsid w:val="000C6F96"/>
    <w:rsid w:val="000C71F8"/>
    <w:rsid w:val="000C75B3"/>
    <w:rsid w:val="000C78F5"/>
    <w:rsid w:val="000C7A0C"/>
    <w:rsid w:val="000C7AE4"/>
    <w:rsid w:val="000D004C"/>
    <w:rsid w:val="000D0C2E"/>
    <w:rsid w:val="000D11A2"/>
    <w:rsid w:val="000D121B"/>
    <w:rsid w:val="000D12AC"/>
    <w:rsid w:val="000D1629"/>
    <w:rsid w:val="000D1708"/>
    <w:rsid w:val="000D17F4"/>
    <w:rsid w:val="000D1B9D"/>
    <w:rsid w:val="000D1BEA"/>
    <w:rsid w:val="000D211B"/>
    <w:rsid w:val="000D2412"/>
    <w:rsid w:val="000D274D"/>
    <w:rsid w:val="000D28D4"/>
    <w:rsid w:val="000D2943"/>
    <w:rsid w:val="000D29B8"/>
    <w:rsid w:val="000D2E83"/>
    <w:rsid w:val="000D3520"/>
    <w:rsid w:val="000D368E"/>
    <w:rsid w:val="000D37BF"/>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E6"/>
    <w:rsid w:val="000D7C6A"/>
    <w:rsid w:val="000E0137"/>
    <w:rsid w:val="000E020B"/>
    <w:rsid w:val="000E02C8"/>
    <w:rsid w:val="000E0483"/>
    <w:rsid w:val="000E0670"/>
    <w:rsid w:val="000E0725"/>
    <w:rsid w:val="000E0BD4"/>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C0A"/>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D1C"/>
    <w:rsid w:val="000F5D36"/>
    <w:rsid w:val="000F5F26"/>
    <w:rsid w:val="000F5FCB"/>
    <w:rsid w:val="000F6032"/>
    <w:rsid w:val="000F609E"/>
    <w:rsid w:val="000F6112"/>
    <w:rsid w:val="000F6199"/>
    <w:rsid w:val="000F64ED"/>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6CF"/>
    <w:rsid w:val="00105936"/>
    <w:rsid w:val="00105A2C"/>
    <w:rsid w:val="00105F21"/>
    <w:rsid w:val="00106037"/>
    <w:rsid w:val="00106431"/>
    <w:rsid w:val="00106644"/>
    <w:rsid w:val="00106699"/>
    <w:rsid w:val="00106BFE"/>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296D"/>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A42"/>
    <w:rsid w:val="00120BE8"/>
    <w:rsid w:val="001211A0"/>
    <w:rsid w:val="00121695"/>
    <w:rsid w:val="00121798"/>
    <w:rsid w:val="001218EA"/>
    <w:rsid w:val="00122013"/>
    <w:rsid w:val="0012220D"/>
    <w:rsid w:val="00122257"/>
    <w:rsid w:val="0012253A"/>
    <w:rsid w:val="001225B6"/>
    <w:rsid w:val="001227F7"/>
    <w:rsid w:val="00122925"/>
    <w:rsid w:val="00123159"/>
    <w:rsid w:val="00123170"/>
    <w:rsid w:val="00123185"/>
    <w:rsid w:val="0012325D"/>
    <w:rsid w:val="001235B8"/>
    <w:rsid w:val="001235DA"/>
    <w:rsid w:val="00123619"/>
    <w:rsid w:val="001236F6"/>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1FA"/>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879"/>
    <w:rsid w:val="00135A0D"/>
    <w:rsid w:val="00135F0E"/>
    <w:rsid w:val="00135F8E"/>
    <w:rsid w:val="00135FD8"/>
    <w:rsid w:val="001361A8"/>
    <w:rsid w:val="001361F0"/>
    <w:rsid w:val="00136342"/>
    <w:rsid w:val="00136AB0"/>
    <w:rsid w:val="00136FA8"/>
    <w:rsid w:val="00137448"/>
    <w:rsid w:val="00137497"/>
    <w:rsid w:val="00137969"/>
    <w:rsid w:val="00137981"/>
    <w:rsid w:val="00137AFD"/>
    <w:rsid w:val="00137B13"/>
    <w:rsid w:val="001401AA"/>
    <w:rsid w:val="00140281"/>
    <w:rsid w:val="001404A5"/>
    <w:rsid w:val="001404CF"/>
    <w:rsid w:val="00140783"/>
    <w:rsid w:val="001407BE"/>
    <w:rsid w:val="001409CC"/>
    <w:rsid w:val="00140ABC"/>
    <w:rsid w:val="00140B12"/>
    <w:rsid w:val="00140B27"/>
    <w:rsid w:val="00140D2B"/>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315"/>
    <w:rsid w:val="00147454"/>
    <w:rsid w:val="00147542"/>
    <w:rsid w:val="00147653"/>
    <w:rsid w:val="001478A4"/>
    <w:rsid w:val="001478C0"/>
    <w:rsid w:val="00147AA8"/>
    <w:rsid w:val="00147AAB"/>
    <w:rsid w:val="00147CC1"/>
    <w:rsid w:val="00147D1C"/>
    <w:rsid w:val="00147E93"/>
    <w:rsid w:val="00150084"/>
    <w:rsid w:val="001505F9"/>
    <w:rsid w:val="00150842"/>
    <w:rsid w:val="001508C0"/>
    <w:rsid w:val="00150ADE"/>
    <w:rsid w:val="00150ED9"/>
    <w:rsid w:val="00150F77"/>
    <w:rsid w:val="00150FC7"/>
    <w:rsid w:val="00151079"/>
    <w:rsid w:val="0015161E"/>
    <w:rsid w:val="00151896"/>
    <w:rsid w:val="00151C96"/>
    <w:rsid w:val="00151E9B"/>
    <w:rsid w:val="00152053"/>
    <w:rsid w:val="001522BF"/>
    <w:rsid w:val="00152307"/>
    <w:rsid w:val="0015232E"/>
    <w:rsid w:val="0015279E"/>
    <w:rsid w:val="00152AC8"/>
    <w:rsid w:val="00152DF5"/>
    <w:rsid w:val="00153112"/>
    <w:rsid w:val="00153490"/>
    <w:rsid w:val="00153774"/>
    <w:rsid w:val="00153E76"/>
    <w:rsid w:val="00154206"/>
    <w:rsid w:val="00154568"/>
    <w:rsid w:val="001545E9"/>
    <w:rsid w:val="00154913"/>
    <w:rsid w:val="00154BD9"/>
    <w:rsid w:val="00154CC4"/>
    <w:rsid w:val="00154D9C"/>
    <w:rsid w:val="00154E83"/>
    <w:rsid w:val="0015519E"/>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EB9"/>
    <w:rsid w:val="00161F50"/>
    <w:rsid w:val="00161F55"/>
    <w:rsid w:val="00162050"/>
    <w:rsid w:val="00162F28"/>
    <w:rsid w:val="001631A0"/>
    <w:rsid w:val="00163440"/>
    <w:rsid w:val="001635F8"/>
    <w:rsid w:val="00163633"/>
    <w:rsid w:val="00163658"/>
    <w:rsid w:val="00163D86"/>
    <w:rsid w:val="00163E62"/>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9DA"/>
    <w:rsid w:val="00167DC6"/>
    <w:rsid w:val="00167DD8"/>
    <w:rsid w:val="00167EBA"/>
    <w:rsid w:val="00167F75"/>
    <w:rsid w:val="001701C5"/>
    <w:rsid w:val="0017043E"/>
    <w:rsid w:val="0017044B"/>
    <w:rsid w:val="001705CE"/>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CD"/>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2E13"/>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D9"/>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4004"/>
    <w:rsid w:val="00194813"/>
    <w:rsid w:val="00194820"/>
    <w:rsid w:val="00194D22"/>
    <w:rsid w:val="00194F70"/>
    <w:rsid w:val="0019508B"/>
    <w:rsid w:val="001956BB"/>
    <w:rsid w:val="00195A23"/>
    <w:rsid w:val="00195AC9"/>
    <w:rsid w:val="00195C63"/>
    <w:rsid w:val="00195C6F"/>
    <w:rsid w:val="00195D42"/>
    <w:rsid w:val="00195F55"/>
    <w:rsid w:val="001961B7"/>
    <w:rsid w:val="00196639"/>
    <w:rsid w:val="0019675D"/>
    <w:rsid w:val="001967C7"/>
    <w:rsid w:val="00196B68"/>
    <w:rsid w:val="00196C12"/>
    <w:rsid w:val="00196DAC"/>
    <w:rsid w:val="00196E40"/>
    <w:rsid w:val="00196EF1"/>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8EC"/>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A2B"/>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5F5C"/>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51F"/>
    <w:rsid w:val="001C2E9C"/>
    <w:rsid w:val="001C2FEB"/>
    <w:rsid w:val="001C34B2"/>
    <w:rsid w:val="001C358B"/>
    <w:rsid w:val="001C364D"/>
    <w:rsid w:val="001C3764"/>
    <w:rsid w:val="001C384F"/>
    <w:rsid w:val="001C395C"/>
    <w:rsid w:val="001C3AC5"/>
    <w:rsid w:val="001C3ADF"/>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0EFA"/>
    <w:rsid w:val="001D10DB"/>
    <w:rsid w:val="001D1182"/>
    <w:rsid w:val="001D11CA"/>
    <w:rsid w:val="001D13F2"/>
    <w:rsid w:val="001D157D"/>
    <w:rsid w:val="001D16D0"/>
    <w:rsid w:val="001D19A5"/>
    <w:rsid w:val="001D1A02"/>
    <w:rsid w:val="001D1EB8"/>
    <w:rsid w:val="001D2AC6"/>
    <w:rsid w:val="001D2F6B"/>
    <w:rsid w:val="001D3157"/>
    <w:rsid w:val="001D3203"/>
    <w:rsid w:val="001D34F1"/>
    <w:rsid w:val="001D38AD"/>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37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7C2"/>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4ED"/>
    <w:rsid w:val="001F1AE0"/>
    <w:rsid w:val="001F1BCA"/>
    <w:rsid w:val="001F21A7"/>
    <w:rsid w:val="001F21F0"/>
    <w:rsid w:val="001F251F"/>
    <w:rsid w:val="001F2630"/>
    <w:rsid w:val="001F2671"/>
    <w:rsid w:val="001F28BB"/>
    <w:rsid w:val="001F2AD7"/>
    <w:rsid w:val="001F2E19"/>
    <w:rsid w:val="001F2F8C"/>
    <w:rsid w:val="001F31EA"/>
    <w:rsid w:val="001F35F0"/>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D28"/>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8C4"/>
    <w:rsid w:val="00211CEC"/>
    <w:rsid w:val="00211F20"/>
    <w:rsid w:val="002120CA"/>
    <w:rsid w:val="002122C1"/>
    <w:rsid w:val="00212454"/>
    <w:rsid w:val="002124EA"/>
    <w:rsid w:val="002129CC"/>
    <w:rsid w:val="002129F1"/>
    <w:rsid w:val="00212C2B"/>
    <w:rsid w:val="002131C8"/>
    <w:rsid w:val="002132B6"/>
    <w:rsid w:val="00213488"/>
    <w:rsid w:val="002135EA"/>
    <w:rsid w:val="0021370F"/>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93C"/>
    <w:rsid w:val="00215A32"/>
    <w:rsid w:val="00215AC0"/>
    <w:rsid w:val="002160F9"/>
    <w:rsid w:val="00216526"/>
    <w:rsid w:val="00216565"/>
    <w:rsid w:val="002165C5"/>
    <w:rsid w:val="00216856"/>
    <w:rsid w:val="002168A4"/>
    <w:rsid w:val="002168F9"/>
    <w:rsid w:val="00216A3B"/>
    <w:rsid w:val="00216B6E"/>
    <w:rsid w:val="00216DB4"/>
    <w:rsid w:val="00216EB8"/>
    <w:rsid w:val="00216EF4"/>
    <w:rsid w:val="00216F41"/>
    <w:rsid w:val="00216FCA"/>
    <w:rsid w:val="0021701E"/>
    <w:rsid w:val="0021715C"/>
    <w:rsid w:val="00217DCC"/>
    <w:rsid w:val="00217F91"/>
    <w:rsid w:val="00220035"/>
    <w:rsid w:val="0022005F"/>
    <w:rsid w:val="002200D0"/>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A1D"/>
    <w:rsid w:val="00222E23"/>
    <w:rsid w:val="00222F4C"/>
    <w:rsid w:val="00223400"/>
    <w:rsid w:val="00223967"/>
    <w:rsid w:val="002239B4"/>
    <w:rsid w:val="00223A46"/>
    <w:rsid w:val="00223A67"/>
    <w:rsid w:val="00223A9F"/>
    <w:rsid w:val="00223B8A"/>
    <w:rsid w:val="00223BE5"/>
    <w:rsid w:val="00223D0F"/>
    <w:rsid w:val="00223F41"/>
    <w:rsid w:val="0022401F"/>
    <w:rsid w:val="00224052"/>
    <w:rsid w:val="00224083"/>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6C9"/>
    <w:rsid w:val="002308D8"/>
    <w:rsid w:val="00230BA7"/>
    <w:rsid w:val="00230D56"/>
    <w:rsid w:val="00230D90"/>
    <w:rsid w:val="00231104"/>
    <w:rsid w:val="0023129E"/>
    <w:rsid w:val="002312D9"/>
    <w:rsid w:val="00231378"/>
    <w:rsid w:val="0023151A"/>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574"/>
    <w:rsid w:val="00235A49"/>
    <w:rsid w:val="00235CA9"/>
    <w:rsid w:val="00235D4D"/>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62DB"/>
    <w:rsid w:val="002463AD"/>
    <w:rsid w:val="00246452"/>
    <w:rsid w:val="00246470"/>
    <w:rsid w:val="00246488"/>
    <w:rsid w:val="00246617"/>
    <w:rsid w:val="002469E9"/>
    <w:rsid w:val="00246A3D"/>
    <w:rsid w:val="00246F00"/>
    <w:rsid w:val="00247284"/>
    <w:rsid w:val="00247359"/>
    <w:rsid w:val="00247CE7"/>
    <w:rsid w:val="00247D12"/>
    <w:rsid w:val="00247D96"/>
    <w:rsid w:val="00247DEA"/>
    <w:rsid w:val="00247DF0"/>
    <w:rsid w:val="00247F83"/>
    <w:rsid w:val="00250170"/>
    <w:rsid w:val="00250404"/>
    <w:rsid w:val="002504F6"/>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76"/>
    <w:rsid w:val="002533CC"/>
    <w:rsid w:val="00253521"/>
    <w:rsid w:val="00253587"/>
    <w:rsid w:val="002537A6"/>
    <w:rsid w:val="002537F5"/>
    <w:rsid w:val="0025380B"/>
    <w:rsid w:val="0025387B"/>
    <w:rsid w:val="0025390F"/>
    <w:rsid w:val="00253C61"/>
    <w:rsid w:val="00253F58"/>
    <w:rsid w:val="00254320"/>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BA1"/>
    <w:rsid w:val="00255D4D"/>
    <w:rsid w:val="00255D93"/>
    <w:rsid w:val="00255F94"/>
    <w:rsid w:val="00255FC0"/>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0FC"/>
    <w:rsid w:val="00263355"/>
    <w:rsid w:val="002634C3"/>
    <w:rsid w:val="00263AAC"/>
    <w:rsid w:val="00263D44"/>
    <w:rsid w:val="00263DBA"/>
    <w:rsid w:val="00263E5F"/>
    <w:rsid w:val="00263FD7"/>
    <w:rsid w:val="002647DB"/>
    <w:rsid w:val="00264C6B"/>
    <w:rsid w:val="00264C79"/>
    <w:rsid w:val="00264CC1"/>
    <w:rsid w:val="00264D37"/>
    <w:rsid w:val="00264E3C"/>
    <w:rsid w:val="00264EA6"/>
    <w:rsid w:val="00264F09"/>
    <w:rsid w:val="00264F20"/>
    <w:rsid w:val="00264F40"/>
    <w:rsid w:val="00265027"/>
    <w:rsid w:val="00265214"/>
    <w:rsid w:val="00265753"/>
    <w:rsid w:val="00265A28"/>
    <w:rsid w:val="00265E3B"/>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A27"/>
    <w:rsid w:val="00267B00"/>
    <w:rsid w:val="00267B25"/>
    <w:rsid w:val="00267B49"/>
    <w:rsid w:val="00267C40"/>
    <w:rsid w:val="00267D1D"/>
    <w:rsid w:val="00267F8B"/>
    <w:rsid w:val="002704F8"/>
    <w:rsid w:val="00270538"/>
    <w:rsid w:val="00270724"/>
    <w:rsid w:val="002707AA"/>
    <w:rsid w:val="0027086D"/>
    <w:rsid w:val="002709EA"/>
    <w:rsid w:val="00270C18"/>
    <w:rsid w:val="00270DA4"/>
    <w:rsid w:val="00270DAA"/>
    <w:rsid w:val="00271099"/>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C95"/>
    <w:rsid w:val="00276D33"/>
    <w:rsid w:val="002771C9"/>
    <w:rsid w:val="00277270"/>
    <w:rsid w:val="002772D0"/>
    <w:rsid w:val="00277646"/>
    <w:rsid w:val="00277FF4"/>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87"/>
    <w:rsid w:val="00285FF4"/>
    <w:rsid w:val="00286032"/>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62B"/>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747"/>
    <w:rsid w:val="002937F4"/>
    <w:rsid w:val="00293853"/>
    <w:rsid w:val="00293B6B"/>
    <w:rsid w:val="00293C1A"/>
    <w:rsid w:val="00294128"/>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97FC8"/>
    <w:rsid w:val="002A0035"/>
    <w:rsid w:val="002A007E"/>
    <w:rsid w:val="002A0092"/>
    <w:rsid w:val="002A0503"/>
    <w:rsid w:val="002A05BE"/>
    <w:rsid w:val="002A0792"/>
    <w:rsid w:val="002A0BC9"/>
    <w:rsid w:val="002A0CFA"/>
    <w:rsid w:val="002A0D16"/>
    <w:rsid w:val="002A0E71"/>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7AC"/>
    <w:rsid w:val="002A4CEA"/>
    <w:rsid w:val="002A4E4D"/>
    <w:rsid w:val="002A4FAE"/>
    <w:rsid w:val="002A5293"/>
    <w:rsid w:val="002A52DB"/>
    <w:rsid w:val="002A53E0"/>
    <w:rsid w:val="002A55CA"/>
    <w:rsid w:val="002A5720"/>
    <w:rsid w:val="002A5752"/>
    <w:rsid w:val="002A576B"/>
    <w:rsid w:val="002A5A9F"/>
    <w:rsid w:val="002A5AA9"/>
    <w:rsid w:val="002A5AC5"/>
    <w:rsid w:val="002A5B7F"/>
    <w:rsid w:val="002A5DEB"/>
    <w:rsid w:val="002A5E8E"/>
    <w:rsid w:val="002A5E9E"/>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3CF"/>
    <w:rsid w:val="002C1467"/>
    <w:rsid w:val="002C17E1"/>
    <w:rsid w:val="002C1867"/>
    <w:rsid w:val="002C1953"/>
    <w:rsid w:val="002C1BB9"/>
    <w:rsid w:val="002C1CE4"/>
    <w:rsid w:val="002C1FA5"/>
    <w:rsid w:val="002C202A"/>
    <w:rsid w:val="002C2193"/>
    <w:rsid w:val="002C23A3"/>
    <w:rsid w:val="002C2522"/>
    <w:rsid w:val="002C253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18"/>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68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9DF"/>
    <w:rsid w:val="002D3A2F"/>
    <w:rsid w:val="002D3A57"/>
    <w:rsid w:val="002D3D8E"/>
    <w:rsid w:val="002D3D9B"/>
    <w:rsid w:val="002D3EC7"/>
    <w:rsid w:val="002D402A"/>
    <w:rsid w:val="002D4142"/>
    <w:rsid w:val="002D4329"/>
    <w:rsid w:val="002D43D9"/>
    <w:rsid w:val="002D47EF"/>
    <w:rsid w:val="002D48FF"/>
    <w:rsid w:val="002D4B7C"/>
    <w:rsid w:val="002D51E1"/>
    <w:rsid w:val="002D5A7E"/>
    <w:rsid w:val="002D5CD8"/>
    <w:rsid w:val="002D6176"/>
    <w:rsid w:val="002D61E2"/>
    <w:rsid w:val="002D6230"/>
    <w:rsid w:val="002D6770"/>
    <w:rsid w:val="002D6A75"/>
    <w:rsid w:val="002D6BD6"/>
    <w:rsid w:val="002D6E3A"/>
    <w:rsid w:val="002D6F2B"/>
    <w:rsid w:val="002D7103"/>
    <w:rsid w:val="002D73D0"/>
    <w:rsid w:val="002D7720"/>
    <w:rsid w:val="002D77B8"/>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54"/>
    <w:rsid w:val="002E29A7"/>
    <w:rsid w:val="002E2F72"/>
    <w:rsid w:val="002E2FDC"/>
    <w:rsid w:val="002E30FF"/>
    <w:rsid w:val="002E325B"/>
    <w:rsid w:val="002E345D"/>
    <w:rsid w:val="002E34AB"/>
    <w:rsid w:val="002E3842"/>
    <w:rsid w:val="002E3E73"/>
    <w:rsid w:val="002E42C8"/>
    <w:rsid w:val="002E4398"/>
    <w:rsid w:val="002E468F"/>
    <w:rsid w:val="002E46BE"/>
    <w:rsid w:val="002E4707"/>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6F99"/>
    <w:rsid w:val="002E72D1"/>
    <w:rsid w:val="002E733D"/>
    <w:rsid w:val="002E79FA"/>
    <w:rsid w:val="002E7C62"/>
    <w:rsid w:val="002E7D9A"/>
    <w:rsid w:val="002F0052"/>
    <w:rsid w:val="002F0222"/>
    <w:rsid w:val="002F049D"/>
    <w:rsid w:val="002F04FE"/>
    <w:rsid w:val="002F0BF1"/>
    <w:rsid w:val="002F0C48"/>
    <w:rsid w:val="002F0E39"/>
    <w:rsid w:val="002F122C"/>
    <w:rsid w:val="002F17BA"/>
    <w:rsid w:val="002F185A"/>
    <w:rsid w:val="002F18B6"/>
    <w:rsid w:val="002F1C8C"/>
    <w:rsid w:val="002F1E2F"/>
    <w:rsid w:val="002F1F43"/>
    <w:rsid w:val="002F2642"/>
    <w:rsid w:val="002F265E"/>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290"/>
    <w:rsid w:val="003006B6"/>
    <w:rsid w:val="00300737"/>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E8"/>
    <w:rsid w:val="003038A5"/>
    <w:rsid w:val="003038AF"/>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B05"/>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180"/>
    <w:rsid w:val="00311254"/>
    <w:rsid w:val="00311400"/>
    <w:rsid w:val="00311439"/>
    <w:rsid w:val="003114F9"/>
    <w:rsid w:val="00311AC0"/>
    <w:rsid w:val="00311C6C"/>
    <w:rsid w:val="00311DA9"/>
    <w:rsid w:val="0031216C"/>
    <w:rsid w:val="00312785"/>
    <w:rsid w:val="00312853"/>
    <w:rsid w:val="00312ABA"/>
    <w:rsid w:val="00312B66"/>
    <w:rsid w:val="00312BA7"/>
    <w:rsid w:val="00312F0F"/>
    <w:rsid w:val="00312FFB"/>
    <w:rsid w:val="00313496"/>
    <w:rsid w:val="0031362D"/>
    <w:rsid w:val="00313774"/>
    <w:rsid w:val="003138C2"/>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422"/>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374"/>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B6C"/>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342"/>
    <w:rsid w:val="003324BC"/>
    <w:rsid w:val="003324F6"/>
    <w:rsid w:val="0033262A"/>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6F30"/>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150"/>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C64"/>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CD5"/>
    <w:rsid w:val="00366D7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BC6"/>
    <w:rsid w:val="00375D30"/>
    <w:rsid w:val="00376264"/>
    <w:rsid w:val="00376555"/>
    <w:rsid w:val="003769CB"/>
    <w:rsid w:val="00376A10"/>
    <w:rsid w:val="00376D39"/>
    <w:rsid w:val="00376EB8"/>
    <w:rsid w:val="00376F5A"/>
    <w:rsid w:val="00377131"/>
    <w:rsid w:val="003771EE"/>
    <w:rsid w:val="003776D5"/>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3F0"/>
    <w:rsid w:val="003825BB"/>
    <w:rsid w:val="00382662"/>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4CB1"/>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BC"/>
    <w:rsid w:val="00390D2F"/>
    <w:rsid w:val="00390D93"/>
    <w:rsid w:val="00390F2A"/>
    <w:rsid w:val="00391454"/>
    <w:rsid w:val="00391BE9"/>
    <w:rsid w:val="00391D1E"/>
    <w:rsid w:val="00391D99"/>
    <w:rsid w:val="00391E98"/>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391"/>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02"/>
    <w:rsid w:val="003A584B"/>
    <w:rsid w:val="003A586B"/>
    <w:rsid w:val="003A5913"/>
    <w:rsid w:val="003A5B50"/>
    <w:rsid w:val="003A5B7A"/>
    <w:rsid w:val="003A5BC1"/>
    <w:rsid w:val="003A5C6B"/>
    <w:rsid w:val="003A5DB6"/>
    <w:rsid w:val="003A5F2E"/>
    <w:rsid w:val="003A5F57"/>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7AE"/>
    <w:rsid w:val="003B1BED"/>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4D5"/>
    <w:rsid w:val="003B35DE"/>
    <w:rsid w:val="003B376F"/>
    <w:rsid w:val="003B39F3"/>
    <w:rsid w:val="003B3A12"/>
    <w:rsid w:val="003B3C67"/>
    <w:rsid w:val="003B3EF1"/>
    <w:rsid w:val="003B3F01"/>
    <w:rsid w:val="003B4094"/>
    <w:rsid w:val="003B4164"/>
    <w:rsid w:val="003B43F1"/>
    <w:rsid w:val="003B44A5"/>
    <w:rsid w:val="003B46F2"/>
    <w:rsid w:val="003B4703"/>
    <w:rsid w:val="003B490C"/>
    <w:rsid w:val="003B496B"/>
    <w:rsid w:val="003B4C61"/>
    <w:rsid w:val="003B4EAB"/>
    <w:rsid w:val="003B4F99"/>
    <w:rsid w:val="003B505E"/>
    <w:rsid w:val="003B513B"/>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45E"/>
    <w:rsid w:val="003C5513"/>
    <w:rsid w:val="003C552B"/>
    <w:rsid w:val="003C56BF"/>
    <w:rsid w:val="003C5714"/>
    <w:rsid w:val="003C597E"/>
    <w:rsid w:val="003C5E02"/>
    <w:rsid w:val="003C5E09"/>
    <w:rsid w:val="003C6184"/>
    <w:rsid w:val="003C62E6"/>
    <w:rsid w:val="003C6531"/>
    <w:rsid w:val="003C6A55"/>
    <w:rsid w:val="003C6B1D"/>
    <w:rsid w:val="003C6BAE"/>
    <w:rsid w:val="003C6CAB"/>
    <w:rsid w:val="003C6D65"/>
    <w:rsid w:val="003C73C2"/>
    <w:rsid w:val="003C7449"/>
    <w:rsid w:val="003C7514"/>
    <w:rsid w:val="003C774C"/>
    <w:rsid w:val="003C7C3B"/>
    <w:rsid w:val="003D0038"/>
    <w:rsid w:val="003D073B"/>
    <w:rsid w:val="003D0A31"/>
    <w:rsid w:val="003D0BBC"/>
    <w:rsid w:val="003D0C73"/>
    <w:rsid w:val="003D0FB9"/>
    <w:rsid w:val="003D1123"/>
    <w:rsid w:val="003D1BA4"/>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2D2"/>
    <w:rsid w:val="003D53D8"/>
    <w:rsid w:val="003D55EA"/>
    <w:rsid w:val="003D5935"/>
    <w:rsid w:val="003D5BA9"/>
    <w:rsid w:val="003D5E92"/>
    <w:rsid w:val="003D5FC7"/>
    <w:rsid w:val="003D60B3"/>
    <w:rsid w:val="003D6158"/>
    <w:rsid w:val="003D6295"/>
    <w:rsid w:val="003D6448"/>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55"/>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3060"/>
    <w:rsid w:val="003F317E"/>
    <w:rsid w:val="003F31E3"/>
    <w:rsid w:val="003F34F9"/>
    <w:rsid w:val="003F3839"/>
    <w:rsid w:val="003F4353"/>
    <w:rsid w:val="003F44A1"/>
    <w:rsid w:val="003F44A3"/>
    <w:rsid w:val="003F4571"/>
    <w:rsid w:val="003F4587"/>
    <w:rsid w:val="003F459C"/>
    <w:rsid w:val="003F47BA"/>
    <w:rsid w:val="003F51AE"/>
    <w:rsid w:val="003F51D7"/>
    <w:rsid w:val="003F5395"/>
    <w:rsid w:val="003F5762"/>
    <w:rsid w:val="003F5932"/>
    <w:rsid w:val="003F5A08"/>
    <w:rsid w:val="003F5EAE"/>
    <w:rsid w:val="003F6075"/>
    <w:rsid w:val="003F614E"/>
    <w:rsid w:val="003F662F"/>
    <w:rsid w:val="003F663D"/>
    <w:rsid w:val="003F6715"/>
    <w:rsid w:val="003F6994"/>
    <w:rsid w:val="003F6AF1"/>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68"/>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2D5"/>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21A"/>
    <w:rsid w:val="00411304"/>
    <w:rsid w:val="00411466"/>
    <w:rsid w:val="0041171F"/>
    <w:rsid w:val="00411ADF"/>
    <w:rsid w:val="00411BCC"/>
    <w:rsid w:val="0041265A"/>
    <w:rsid w:val="00412666"/>
    <w:rsid w:val="004126C8"/>
    <w:rsid w:val="00412720"/>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306"/>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214"/>
    <w:rsid w:val="004245B2"/>
    <w:rsid w:val="00424C81"/>
    <w:rsid w:val="00424D1C"/>
    <w:rsid w:val="00424F21"/>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9F5"/>
    <w:rsid w:val="00432A24"/>
    <w:rsid w:val="00432E00"/>
    <w:rsid w:val="00433034"/>
    <w:rsid w:val="00433050"/>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37FDF"/>
    <w:rsid w:val="0044012E"/>
    <w:rsid w:val="00440239"/>
    <w:rsid w:val="00440439"/>
    <w:rsid w:val="00440524"/>
    <w:rsid w:val="00440A05"/>
    <w:rsid w:val="00440A3A"/>
    <w:rsid w:val="00440D07"/>
    <w:rsid w:val="004410D4"/>
    <w:rsid w:val="004412C7"/>
    <w:rsid w:val="004414E2"/>
    <w:rsid w:val="004416FA"/>
    <w:rsid w:val="00441A00"/>
    <w:rsid w:val="00441C09"/>
    <w:rsid w:val="00441F9B"/>
    <w:rsid w:val="0044204C"/>
    <w:rsid w:val="0044213C"/>
    <w:rsid w:val="0044251A"/>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9BE"/>
    <w:rsid w:val="00445B43"/>
    <w:rsid w:val="00445BD4"/>
    <w:rsid w:val="00445EA2"/>
    <w:rsid w:val="00445F65"/>
    <w:rsid w:val="004463DC"/>
    <w:rsid w:val="004463DD"/>
    <w:rsid w:val="0044664C"/>
    <w:rsid w:val="004466AD"/>
    <w:rsid w:val="00446701"/>
    <w:rsid w:val="004469E2"/>
    <w:rsid w:val="00446BBA"/>
    <w:rsid w:val="00446E50"/>
    <w:rsid w:val="004472B9"/>
    <w:rsid w:val="004475A0"/>
    <w:rsid w:val="004475E8"/>
    <w:rsid w:val="00447716"/>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746"/>
    <w:rsid w:val="00452B58"/>
    <w:rsid w:val="00452B9D"/>
    <w:rsid w:val="00452C58"/>
    <w:rsid w:val="00452DCB"/>
    <w:rsid w:val="004532E9"/>
    <w:rsid w:val="004535AC"/>
    <w:rsid w:val="00453808"/>
    <w:rsid w:val="00453D1D"/>
    <w:rsid w:val="00454059"/>
    <w:rsid w:val="00454210"/>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1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20C"/>
    <w:rsid w:val="00470B67"/>
    <w:rsid w:val="00470D83"/>
    <w:rsid w:val="00470F44"/>
    <w:rsid w:val="004710C0"/>
    <w:rsid w:val="00471168"/>
    <w:rsid w:val="0047121B"/>
    <w:rsid w:val="00471377"/>
    <w:rsid w:val="004713F0"/>
    <w:rsid w:val="00471731"/>
    <w:rsid w:val="004718E6"/>
    <w:rsid w:val="00471B42"/>
    <w:rsid w:val="004720D6"/>
    <w:rsid w:val="0047224D"/>
    <w:rsid w:val="00472BC9"/>
    <w:rsid w:val="00472BF7"/>
    <w:rsid w:val="00472D45"/>
    <w:rsid w:val="00473007"/>
    <w:rsid w:val="00473275"/>
    <w:rsid w:val="004735C9"/>
    <w:rsid w:val="0047362F"/>
    <w:rsid w:val="0047382F"/>
    <w:rsid w:val="00473857"/>
    <w:rsid w:val="00474037"/>
    <w:rsid w:val="004741F8"/>
    <w:rsid w:val="00474349"/>
    <w:rsid w:val="00474487"/>
    <w:rsid w:val="00474E2D"/>
    <w:rsid w:val="00474FA4"/>
    <w:rsid w:val="00475613"/>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9B"/>
    <w:rsid w:val="00477CB0"/>
    <w:rsid w:val="00477CDC"/>
    <w:rsid w:val="00477EF2"/>
    <w:rsid w:val="004800CB"/>
    <w:rsid w:val="0048020F"/>
    <w:rsid w:val="00480447"/>
    <w:rsid w:val="00480560"/>
    <w:rsid w:val="004807F1"/>
    <w:rsid w:val="00480BA5"/>
    <w:rsid w:val="00481174"/>
    <w:rsid w:val="004811D5"/>
    <w:rsid w:val="00481301"/>
    <w:rsid w:val="0048171F"/>
    <w:rsid w:val="00481742"/>
    <w:rsid w:val="004820D0"/>
    <w:rsid w:val="0048219E"/>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1F"/>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70B"/>
    <w:rsid w:val="004919E8"/>
    <w:rsid w:val="00491BAA"/>
    <w:rsid w:val="00491C68"/>
    <w:rsid w:val="00491E4F"/>
    <w:rsid w:val="004925EA"/>
    <w:rsid w:val="00492709"/>
    <w:rsid w:val="0049289E"/>
    <w:rsid w:val="004928AB"/>
    <w:rsid w:val="00492F91"/>
    <w:rsid w:val="004930F2"/>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5D"/>
    <w:rsid w:val="00496378"/>
    <w:rsid w:val="004964D1"/>
    <w:rsid w:val="004965A3"/>
    <w:rsid w:val="00496869"/>
    <w:rsid w:val="00496970"/>
    <w:rsid w:val="00496BF6"/>
    <w:rsid w:val="00496CA2"/>
    <w:rsid w:val="00496E85"/>
    <w:rsid w:val="004972DB"/>
    <w:rsid w:val="004973A6"/>
    <w:rsid w:val="004973FA"/>
    <w:rsid w:val="00497571"/>
    <w:rsid w:val="00497C6C"/>
    <w:rsid w:val="004A013C"/>
    <w:rsid w:val="004A0185"/>
    <w:rsid w:val="004A01AD"/>
    <w:rsid w:val="004A05C4"/>
    <w:rsid w:val="004A05DA"/>
    <w:rsid w:val="004A080A"/>
    <w:rsid w:val="004A0840"/>
    <w:rsid w:val="004A1551"/>
    <w:rsid w:val="004A16AF"/>
    <w:rsid w:val="004A1DF6"/>
    <w:rsid w:val="004A1E6C"/>
    <w:rsid w:val="004A1F4F"/>
    <w:rsid w:val="004A26A7"/>
    <w:rsid w:val="004A2731"/>
    <w:rsid w:val="004A2A0E"/>
    <w:rsid w:val="004A2D69"/>
    <w:rsid w:val="004A2D71"/>
    <w:rsid w:val="004A3026"/>
    <w:rsid w:val="004A30D7"/>
    <w:rsid w:val="004A3198"/>
    <w:rsid w:val="004A3263"/>
    <w:rsid w:val="004A3698"/>
    <w:rsid w:val="004A382D"/>
    <w:rsid w:val="004A3A53"/>
    <w:rsid w:val="004A3DC1"/>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5FDA"/>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86"/>
    <w:rsid w:val="004B01A6"/>
    <w:rsid w:val="004B021B"/>
    <w:rsid w:val="004B04DE"/>
    <w:rsid w:val="004B0885"/>
    <w:rsid w:val="004B08B8"/>
    <w:rsid w:val="004B0E76"/>
    <w:rsid w:val="004B11A7"/>
    <w:rsid w:val="004B1371"/>
    <w:rsid w:val="004B1ABF"/>
    <w:rsid w:val="004B1B2F"/>
    <w:rsid w:val="004B1D08"/>
    <w:rsid w:val="004B2265"/>
    <w:rsid w:val="004B232F"/>
    <w:rsid w:val="004B270E"/>
    <w:rsid w:val="004B271F"/>
    <w:rsid w:val="004B2734"/>
    <w:rsid w:val="004B28CD"/>
    <w:rsid w:val="004B2C74"/>
    <w:rsid w:val="004B2E4A"/>
    <w:rsid w:val="004B3058"/>
    <w:rsid w:val="004B309F"/>
    <w:rsid w:val="004B30D9"/>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27"/>
    <w:rsid w:val="004B5733"/>
    <w:rsid w:val="004B58EE"/>
    <w:rsid w:val="004B593B"/>
    <w:rsid w:val="004B5A09"/>
    <w:rsid w:val="004B5A87"/>
    <w:rsid w:val="004B5D27"/>
    <w:rsid w:val="004B5F0E"/>
    <w:rsid w:val="004B5F60"/>
    <w:rsid w:val="004B5FF1"/>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544"/>
    <w:rsid w:val="004C169A"/>
    <w:rsid w:val="004C16C9"/>
    <w:rsid w:val="004C17F0"/>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2D5"/>
    <w:rsid w:val="004C54B6"/>
    <w:rsid w:val="004C5536"/>
    <w:rsid w:val="004C56C7"/>
    <w:rsid w:val="004C5AB2"/>
    <w:rsid w:val="004C5AE1"/>
    <w:rsid w:val="004C60D1"/>
    <w:rsid w:val="004C654C"/>
    <w:rsid w:val="004C658C"/>
    <w:rsid w:val="004C68E4"/>
    <w:rsid w:val="004C6983"/>
    <w:rsid w:val="004C6F06"/>
    <w:rsid w:val="004C6F9D"/>
    <w:rsid w:val="004C73A5"/>
    <w:rsid w:val="004C7533"/>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CF2"/>
    <w:rsid w:val="004D2DB2"/>
    <w:rsid w:val="004D2E99"/>
    <w:rsid w:val="004D3177"/>
    <w:rsid w:val="004D35AD"/>
    <w:rsid w:val="004D3BF2"/>
    <w:rsid w:val="004D3E8A"/>
    <w:rsid w:val="004D3E8D"/>
    <w:rsid w:val="004D3F29"/>
    <w:rsid w:val="004D40E4"/>
    <w:rsid w:val="004D43DB"/>
    <w:rsid w:val="004D4459"/>
    <w:rsid w:val="004D476D"/>
    <w:rsid w:val="004D4946"/>
    <w:rsid w:val="004D4A35"/>
    <w:rsid w:val="004D4A58"/>
    <w:rsid w:val="004D52A2"/>
    <w:rsid w:val="004D5552"/>
    <w:rsid w:val="004D5803"/>
    <w:rsid w:val="004D58F7"/>
    <w:rsid w:val="004D5EDD"/>
    <w:rsid w:val="004D6111"/>
    <w:rsid w:val="004D65FA"/>
    <w:rsid w:val="004D66C1"/>
    <w:rsid w:val="004D66D7"/>
    <w:rsid w:val="004D68B6"/>
    <w:rsid w:val="004D6988"/>
    <w:rsid w:val="004D6CEF"/>
    <w:rsid w:val="004D6F5C"/>
    <w:rsid w:val="004D6F9C"/>
    <w:rsid w:val="004D705D"/>
    <w:rsid w:val="004D73BE"/>
    <w:rsid w:val="004D75B2"/>
    <w:rsid w:val="004D7739"/>
    <w:rsid w:val="004D7C14"/>
    <w:rsid w:val="004D7C8A"/>
    <w:rsid w:val="004E01EC"/>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927"/>
    <w:rsid w:val="004E3A0E"/>
    <w:rsid w:val="004E3ACB"/>
    <w:rsid w:val="004E3C4D"/>
    <w:rsid w:val="004E41FA"/>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B31"/>
    <w:rsid w:val="004E6C94"/>
    <w:rsid w:val="004E6D0B"/>
    <w:rsid w:val="004E6EF5"/>
    <w:rsid w:val="004E73F2"/>
    <w:rsid w:val="004E7AA8"/>
    <w:rsid w:val="004E7B9E"/>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A65"/>
    <w:rsid w:val="004F2C4C"/>
    <w:rsid w:val="004F2D8B"/>
    <w:rsid w:val="004F322E"/>
    <w:rsid w:val="004F336F"/>
    <w:rsid w:val="004F376F"/>
    <w:rsid w:val="004F398E"/>
    <w:rsid w:val="004F39AB"/>
    <w:rsid w:val="004F3AA1"/>
    <w:rsid w:val="004F3B42"/>
    <w:rsid w:val="004F3C7C"/>
    <w:rsid w:val="004F3CCF"/>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A30"/>
    <w:rsid w:val="00501BBE"/>
    <w:rsid w:val="00501C78"/>
    <w:rsid w:val="00501F73"/>
    <w:rsid w:val="0050206E"/>
    <w:rsid w:val="005020E8"/>
    <w:rsid w:val="00502479"/>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93D"/>
    <w:rsid w:val="00506A9B"/>
    <w:rsid w:val="00506BB3"/>
    <w:rsid w:val="0050723A"/>
    <w:rsid w:val="005072A9"/>
    <w:rsid w:val="005074F0"/>
    <w:rsid w:val="00507583"/>
    <w:rsid w:val="005076AE"/>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D0"/>
    <w:rsid w:val="00511B31"/>
    <w:rsid w:val="00511CA4"/>
    <w:rsid w:val="00511D64"/>
    <w:rsid w:val="00511DB2"/>
    <w:rsid w:val="00511E49"/>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0EE"/>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87"/>
    <w:rsid w:val="00517196"/>
    <w:rsid w:val="005178BF"/>
    <w:rsid w:val="00517994"/>
    <w:rsid w:val="00517D84"/>
    <w:rsid w:val="00517E9F"/>
    <w:rsid w:val="00517EDC"/>
    <w:rsid w:val="00517FA1"/>
    <w:rsid w:val="0052014E"/>
    <w:rsid w:val="00520493"/>
    <w:rsid w:val="005208AE"/>
    <w:rsid w:val="00520969"/>
    <w:rsid w:val="005209DC"/>
    <w:rsid w:val="00520AB1"/>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40"/>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BB2"/>
    <w:rsid w:val="00527EF8"/>
    <w:rsid w:val="00527F1A"/>
    <w:rsid w:val="00527FC5"/>
    <w:rsid w:val="00530086"/>
    <w:rsid w:val="00530298"/>
    <w:rsid w:val="005304F9"/>
    <w:rsid w:val="00530540"/>
    <w:rsid w:val="00530845"/>
    <w:rsid w:val="005308D6"/>
    <w:rsid w:val="005309B2"/>
    <w:rsid w:val="00530A79"/>
    <w:rsid w:val="00530F15"/>
    <w:rsid w:val="0053106B"/>
    <w:rsid w:val="00531205"/>
    <w:rsid w:val="00531682"/>
    <w:rsid w:val="00531798"/>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A0"/>
    <w:rsid w:val="00535FD4"/>
    <w:rsid w:val="005360D4"/>
    <w:rsid w:val="0053651E"/>
    <w:rsid w:val="005366D5"/>
    <w:rsid w:val="0053676B"/>
    <w:rsid w:val="00536808"/>
    <w:rsid w:val="005368C6"/>
    <w:rsid w:val="005369D0"/>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2879"/>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C99"/>
    <w:rsid w:val="00545D26"/>
    <w:rsid w:val="00545F54"/>
    <w:rsid w:val="00546014"/>
    <w:rsid w:val="005461EE"/>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58E"/>
    <w:rsid w:val="00551A4A"/>
    <w:rsid w:val="00551A78"/>
    <w:rsid w:val="00551D3D"/>
    <w:rsid w:val="005520BB"/>
    <w:rsid w:val="005521E0"/>
    <w:rsid w:val="00552AEE"/>
    <w:rsid w:val="00552C26"/>
    <w:rsid w:val="00552E27"/>
    <w:rsid w:val="00552E34"/>
    <w:rsid w:val="0055316D"/>
    <w:rsid w:val="00553440"/>
    <w:rsid w:val="00553491"/>
    <w:rsid w:val="005535D8"/>
    <w:rsid w:val="00553793"/>
    <w:rsid w:val="00553852"/>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E9"/>
    <w:rsid w:val="00555AF2"/>
    <w:rsid w:val="00555FCC"/>
    <w:rsid w:val="00556256"/>
    <w:rsid w:val="005563B1"/>
    <w:rsid w:val="005564EA"/>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07"/>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A9E"/>
    <w:rsid w:val="00562F48"/>
    <w:rsid w:val="00563314"/>
    <w:rsid w:val="00563364"/>
    <w:rsid w:val="0056343D"/>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B1E"/>
    <w:rsid w:val="00565C36"/>
    <w:rsid w:val="00565C47"/>
    <w:rsid w:val="005661A8"/>
    <w:rsid w:val="0056622C"/>
    <w:rsid w:val="005663AE"/>
    <w:rsid w:val="005664C3"/>
    <w:rsid w:val="00566856"/>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B2D"/>
    <w:rsid w:val="00575CDC"/>
    <w:rsid w:val="00575E0F"/>
    <w:rsid w:val="00575E82"/>
    <w:rsid w:val="00575F09"/>
    <w:rsid w:val="0057667F"/>
    <w:rsid w:val="00576A27"/>
    <w:rsid w:val="00576D0E"/>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BD8"/>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51"/>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4F0"/>
    <w:rsid w:val="00592514"/>
    <w:rsid w:val="0059264E"/>
    <w:rsid w:val="005927E1"/>
    <w:rsid w:val="00592F62"/>
    <w:rsid w:val="00593429"/>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4C5"/>
    <w:rsid w:val="005A64FD"/>
    <w:rsid w:val="005A693F"/>
    <w:rsid w:val="005A694A"/>
    <w:rsid w:val="005A6963"/>
    <w:rsid w:val="005A6AD2"/>
    <w:rsid w:val="005A7113"/>
    <w:rsid w:val="005A72FB"/>
    <w:rsid w:val="005A746A"/>
    <w:rsid w:val="005A74B4"/>
    <w:rsid w:val="005A74E3"/>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198"/>
    <w:rsid w:val="005B24EE"/>
    <w:rsid w:val="005B2778"/>
    <w:rsid w:val="005B27A8"/>
    <w:rsid w:val="005B2984"/>
    <w:rsid w:val="005B2AE7"/>
    <w:rsid w:val="005B2D6F"/>
    <w:rsid w:val="005B2ED7"/>
    <w:rsid w:val="005B3013"/>
    <w:rsid w:val="005B31F3"/>
    <w:rsid w:val="005B335D"/>
    <w:rsid w:val="005B33F4"/>
    <w:rsid w:val="005B3431"/>
    <w:rsid w:val="005B3B75"/>
    <w:rsid w:val="005B3BC0"/>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6D"/>
    <w:rsid w:val="005C0D2E"/>
    <w:rsid w:val="005C0FA5"/>
    <w:rsid w:val="005C1370"/>
    <w:rsid w:val="005C1693"/>
    <w:rsid w:val="005C1B32"/>
    <w:rsid w:val="005C20A7"/>
    <w:rsid w:val="005C227B"/>
    <w:rsid w:val="005C25A7"/>
    <w:rsid w:val="005C286F"/>
    <w:rsid w:val="005C2B7C"/>
    <w:rsid w:val="005C2CF7"/>
    <w:rsid w:val="005C306F"/>
    <w:rsid w:val="005C3363"/>
    <w:rsid w:val="005C35A0"/>
    <w:rsid w:val="005C38B5"/>
    <w:rsid w:val="005C38C2"/>
    <w:rsid w:val="005C3ACD"/>
    <w:rsid w:val="005C3DD3"/>
    <w:rsid w:val="005C3FBF"/>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408"/>
    <w:rsid w:val="005C65DD"/>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CCA"/>
    <w:rsid w:val="005D0D60"/>
    <w:rsid w:val="005D0ECC"/>
    <w:rsid w:val="005D1339"/>
    <w:rsid w:val="005D181D"/>
    <w:rsid w:val="005D18B2"/>
    <w:rsid w:val="005D18F6"/>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6FA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7098"/>
    <w:rsid w:val="005E73BF"/>
    <w:rsid w:val="005E73C4"/>
    <w:rsid w:val="005E7488"/>
    <w:rsid w:val="005E74F5"/>
    <w:rsid w:val="005E7649"/>
    <w:rsid w:val="005E7D21"/>
    <w:rsid w:val="005E7D2D"/>
    <w:rsid w:val="005F0441"/>
    <w:rsid w:val="005F078B"/>
    <w:rsid w:val="005F07B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E0E"/>
    <w:rsid w:val="005F410A"/>
    <w:rsid w:val="005F4168"/>
    <w:rsid w:val="005F4412"/>
    <w:rsid w:val="005F4539"/>
    <w:rsid w:val="005F454C"/>
    <w:rsid w:val="005F48F2"/>
    <w:rsid w:val="005F5282"/>
    <w:rsid w:val="005F54FB"/>
    <w:rsid w:val="005F5B04"/>
    <w:rsid w:val="005F5B26"/>
    <w:rsid w:val="005F5C17"/>
    <w:rsid w:val="005F5C7E"/>
    <w:rsid w:val="005F5D92"/>
    <w:rsid w:val="005F62E7"/>
    <w:rsid w:val="005F63F4"/>
    <w:rsid w:val="005F6511"/>
    <w:rsid w:val="005F6820"/>
    <w:rsid w:val="005F6B2D"/>
    <w:rsid w:val="005F6CEC"/>
    <w:rsid w:val="005F6CF4"/>
    <w:rsid w:val="005F7243"/>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D6F"/>
    <w:rsid w:val="00612E32"/>
    <w:rsid w:val="00612FC7"/>
    <w:rsid w:val="00612FE8"/>
    <w:rsid w:val="006130B1"/>
    <w:rsid w:val="006134E5"/>
    <w:rsid w:val="00613543"/>
    <w:rsid w:val="006138D9"/>
    <w:rsid w:val="00613988"/>
    <w:rsid w:val="006143B6"/>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6F9"/>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D0"/>
    <w:rsid w:val="006316C5"/>
    <w:rsid w:val="0063174A"/>
    <w:rsid w:val="0063190D"/>
    <w:rsid w:val="00631E1A"/>
    <w:rsid w:val="00632446"/>
    <w:rsid w:val="00632490"/>
    <w:rsid w:val="0063259E"/>
    <w:rsid w:val="0063273A"/>
    <w:rsid w:val="0063274C"/>
    <w:rsid w:val="00632AE6"/>
    <w:rsid w:val="00632FAD"/>
    <w:rsid w:val="0063308A"/>
    <w:rsid w:val="006333B6"/>
    <w:rsid w:val="0063382A"/>
    <w:rsid w:val="006339F5"/>
    <w:rsid w:val="00633D0F"/>
    <w:rsid w:val="0063415C"/>
    <w:rsid w:val="0063418C"/>
    <w:rsid w:val="00634224"/>
    <w:rsid w:val="006342C4"/>
    <w:rsid w:val="00634407"/>
    <w:rsid w:val="00634A14"/>
    <w:rsid w:val="00634B84"/>
    <w:rsid w:val="00634D16"/>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40"/>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8C4"/>
    <w:rsid w:val="00647A4F"/>
    <w:rsid w:val="00647A89"/>
    <w:rsid w:val="00647C97"/>
    <w:rsid w:val="00647D31"/>
    <w:rsid w:val="00647DD2"/>
    <w:rsid w:val="00647F41"/>
    <w:rsid w:val="00650319"/>
    <w:rsid w:val="0065044E"/>
    <w:rsid w:val="0065053D"/>
    <w:rsid w:val="00650619"/>
    <w:rsid w:val="006509B6"/>
    <w:rsid w:val="00650A76"/>
    <w:rsid w:val="00650A8D"/>
    <w:rsid w:val="00650D5D"/>
    <w:rsid w:val="00650F2D"/>
    <w:rsid w:val="00650FE7"/>
    <w:rsid w:val="006515CB"/>
    <w:rsid w:val="00651602"/>
    <w:rsid w:val="00651660"/>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0"/>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8EA"/>
    <w:rsid w:val="00661CB1"/>
    <w:rsid w:val="00661E74"/>
    <w:rsid w:val="00661E76"/>
    <w:rsid w:val="00661EB5"/>
    <w:rsid w:val="00661EEF"/>
    <w:rsid w:val="0066208C"/>
    <w:rsid w:val="006628C5"/>
    <w:rsid w:val="0066290D"/>
    <w:rsid w:val="00662F0A"/>
    <w:rsid w:val="00663309"/>
    <w:rsid w:val="0066340C"/>
    <w:rsid w:val="0066369F"/>
    <w:rsid w:val="00663852"/>
    <w:rsid w:val="00663958"/>
    <w:rsid w:val="00664045"/>
    <w:rsid w:val="00664125"/>
    <w:rsid w:val="00664173"/>
    <w:rsid w:val="00664DE7"/>
    <w:rsid w:val="00665228"/>
    <w:rsid w:val="00665869"/>
    <w:rsid w:val="00665BF4"/>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86A"/>
    <w:rsid w:val="00670AB5"/>
    <w:rsid w:val="00670BC6"/>
    <w:rsid w:val="00670E58"/>
    <w:rsid w:val="00670EE3"/>
    <w:rsid w:val="0067136A"/>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72"/>
    <w:rsid w:val="006772ED"/>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912"/>
    <w:rsid w:val="00681A7F"/>
    <w:rsid w:val="00681F48"/>
    <w:rsid w:val="00682014"/>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99F"/>
    <w:rsid w:val="00685B42"/>
    <w:rsid w:val="00685C48"/>
    <w:rsid w:val="00685DFD"/>
    <w:rsid w:val="00685E78"/>
    <w:rsid w:val="00685F07"/>
    <w:rsid w:val="00686089"/>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964"/>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AD2"/>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273"/>
    <w:rsid w:val="006A331E"/>
    <w:rsid w:val="006A35A7"/>
    <w:rsid w:val="006A35AD"/>
    <w:rsid w:val="006A35CF"/>
    <w:rsid w:val="006A37A0"/>
    <w:rsid w:val="006A3851"/>
    <w:rsid w:val="006A3CEB"/>
    <w:rsid w:val="006A4083"/>
    <w:rsid w:val="006A41D7"/>
    <w:rsid w:val="006A425B"/>
    <w:rsid w:val="006A44C9"/>
    <w:rsid w:val="006A46E0"/>
    <w:rsid w:val="006A4D56"/>
    <w:rsid w:val="006A4F71"/>
    <w:rsid w:val="006A4FA6"/>
    <w:rsid w:val="006A513B"/>
    <w:rsid w:val="006A5160"/>
    <w:rsid w:val="006A5951"/>
    <w:rsid w:val="006A597B"/>
    <w:rsid w:val="006A5D0C"/>
    <w:rsid w:val="006A5EA2"/>
    <w:rsid w:val="006A64F8"/>
    <w:rsid w:val="006A6649"/>
    <w:rsid w:val="006A668F"/>
    <w:rsid w:val="006A676A"/>
    <w:rsid w:val="006A6CA3"/>
    <w:rsid w:val="006A6D09"/>
    <w:rsid w:val="006A6FC3"/>
    <w:rsid w:val="006A700E"/>
    <w:rsid w:val="006A70C5"/>
    <w:rsid w:val="006A7449"/>
    <w:rsid w:val="006A75E3"/>
    <w:rsid w:val="006A761B"/>
    <w:rsid w:val="006A7685"/>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3DA"/>
    <w:rsid w:val="006B5538"/>
    <w:rsid w:val="006B5BBF"/>
    <w:rsid w:val="006B614F"/>
    <w:rsid w:val="006B62F8"/>
    <w:rsid w:val="006B63C1"/>
    <w:rsid w:val="006B64F8"/>
    <w:rsid w:val="006B6549"/>
    <w:rsid w:val="006B6841"/>
    <w:rsid w:val="006B694A"/>
    <w:rsid w:val="006B6BFF"/>
    <w:rsid w:val="006B714B"/>
    <w:rsid w:val="006B719F"/>
    <w:rsid w:val="006B7218"/>
    <w:rsid w:val="006B7260"/>
    <w:rsid w:val="006B73D5"/>
    <w:rsid w:val="006B7491"/>
    <w:rsid w:val="006B76D4"/>
    <w:rsid w:val="006B775B"/>
    <w:rsid w:val="006B7A90"/>
    <w:rsid w:val="006B7E3C"/>
    <w:rsid w:val="006B7EB8"/>
    <w:rsid w:val="006B7FBB"/>
    <w:rsid w:val="006C04FA"/>
    <w:rsid w:val="006C0531"/>
    <w:rsid w:val="006C0711"/>
    <w:rsid w:val="006C07F6"/>
    <w:rsid w:val="006C0A13"/>
    <w:rsid w:val="006C0AF3"/>
    <w:rsid w:val="006C0C5F"/>
    <w:rsid w:val="006C0DF4"/>
    <w:rsid w:val="006C0F51"/>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9E4"/>
    <w:rsid w:val="006C4A39"/>
    <w:rsid w:val="006C531F"/>
    <w:rsid w:val="006C53B7"/>
    <w:rsid w:val="006C545F"/>
    <w:rsid w:val="006C56D9"/>
    <w:rsid w:val="006C5808"/>
    <w:rsid w:val="006C583E"/>
    <w:rsid w:val="006C5A50"/>
    <w:rsid w:val="006C5A7E"/>
    <w:rsid w:val="006C5DE8"/>
    <w:rsid w:val="006C60FC"/>
    <w:rsid w:val="006C6117"/>
    <w:rsid w:val="006C65C5"/>
    <w:rsid w:val="006C685F"/>
    <w:rsid w:val="006C6B2B"/>
    <w:rsid w:val="006C6B4F"/>
    <w:rsid w:val="006C6DFD"/>
    <w:rsid w:val="006C6F99"/>
    <w:rsid w:val="006C71A9"/>
    <w:rsid w:val="006C71BD"/>
    <w:rsid w:val="006C72F8"/>
    <w:rsid w:val="006C7520"/>
    <w:rsid w:val="006C77E4"/>
    <w:rsid w:val="006C7A84"/>
    <w:rsid w:val="006C7D5C"/>
    <w:rsid w:val="006C7DCF"/>
    <w:rsid w:val="006C7F35"/>
    <w:rsid w:val="006C7F49"/>
    <w:rsid w:val="006D0484"/>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D"/>
    <w:rsid w:val="006D53F1"/>
    <w:rsid w:val="006D5431"/>
    <w:rsid w:val="006D5702"/>
    <w:rsid w:val="006D5835"/>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2C1"/>
    <w:rsid w:val="006E452C"/>
    <w:rsid w:val="006E4CC3"/>
    <w:rsid w:val="006E4EFF"/>
    <w:rsid w:val="006E50F8"/>
    <w:rsid w:val="006E5101"/>
    <w:rsid w:val="006E56F0"/>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643"/>
    <w:rsid w:val="006E789D"/>
    <w:rsid w:val="006E79F3"/>
    <w:rsid w:val="006E7A9B"/>
    <w:rsid w:val="006F0714"/>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5C"/>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465"/>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6F"/>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D89"/>
    <w:rsid w:val="00712E03"/>
    <w:rsid w:val="00712E39"/>
    <w:rsid w:val="007131FE"/>
    <w:rsid w:val="007132DA"/>
    <w:rsid w:val="00713410"/>
    <w:rsid w:val="007135C2"/>
    <w:rsid w:val="007135EE"/>
    <w:rsid w:val="00713B2F"/>
    <w:rsid w:val="007140F6"/>
    <w:rsid w:val="007141F1"/>
    <w:rsid w:val="00714425"/>
    <w:rsid w:val="00714540"/>
    <w:rsid w:val="0071468F"/>
    <w:rsid w:val="00714818"/>
    <w:rsid w:val="00714A54"/>
    <w:rsid w:val="00714AE6"/>
    <w:rsid w:val="00714B85"/>
    <w:rsid w:val="00714D21"/>
    <w:rsid w:val="00714DF0"/>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17"/>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740"/>
    <w:rsid w:val="007318AC"/>
    <w:rsid w:val="00731A9B"/>
    <w:rsid w:val="00731AC4"/>
    <w:rsid w:val="00731FE3"/>
    <w:rsid w:val="007320EB"/>
    <w:rsid w:val="00732251"/>
    <w:rsid w:val="007324E3"/>
    <w:rsid w:val="007325D6"/>
    <w:rsid w:val="00732A90"/>
    <w:rsid w:val="00732C07"/>
    <w:rsid w:val="00733219"/>
    <w:rsid w:val="0073339C"/>
    <w:rsid w:val="007333C0"/>
    <w:rsid w:val="00733502"/>
    <w:rsid w:val="0073368D"/>
    <w:rsid w:val="00733813"/>
    <w:rsid w:val="007338BA"/>
    <w:rsid w:val="00733A5A"/>
    <w:rsid w:val="00733B16"/>
    <w:rsid w:val="00733B61"/>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59B"/>
    <w:rsid w:val="00735636"/>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0DBE"/>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986"/>
    <w:rsid w:val="007649B1"/>
    <w:rsid w:val="00764A39"/>
    <w:rsid w:val="00764A54"/>
    <w:rsid w:val="00764AC6"/>
    <w:rsid w:val="00764B82"/>
    <w:rsid w:val="00765021"/>
    <w:rsid w:val="0076534E"/>
    <w:rsid w:val="0076550A"/>
    <w:rsid w:val="0076570F"/>
    <w:rsid w:val="007657C3"/>
    <w:rsid w:val="00765C3D"/>
    <w:rsid w:val="00765FA0"/>
    <w:rsid w:val="007660B7"/>
    <w:rsid w:val="0076618D"/>
    <w:rsid w:val="0076640E"/>
    <w:rsid w:val="00766478"/>
    <w:rsid w:val="007668BA"/>
    <w:rsid w:val="007669D2"/>
    <w:rsid w:val="00766FB5"/>
    <w:rsid w:val="007672DC"/>
    <w:rsid w:val="00767463"/>
    <w:rsid w:val="007674FD"/>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599"/>
    <w:rsid w:val="007746C9"/>
    <w:rsid w:val="00774735"/>
    <w:rsid w:val="00774AFB"/>
    <w:rsid w:val="00774C59"/>
    <w:rsid w:val="00774D1F"/>
    <w:rsid w:val="0077537E"/>
    <w:rsid w:val="007753A4"/>
    <w:rsid w:val="007759DB"/>
    <w:rsid w:val="00775A01"/>
    <w:rsid w:val="0077602B"/>
    <w:rsid w:val="0077636F"/>
    <w:rsid w:val="007764A2"/>
    <w:rsid w:val="00776532"/>
    <w:rsid w:val="007765BF"/>
    <w:rsid w:val="0077697E"/>
    <w:rsid w:val="007769AC"/>
    <w:rsid w:val="007769AF"/>
    <w:rsid w:val="00776B4A"/>
    <w:rsid w:val="00776C83"/>
    <w:rsid w:val="00776E4B"/>
    <w:rsid w:val="00776ED8"/>
    <w:rsid w:val="007772D7"/>
    <w:rsid w:val="0077743D"/>
    <w:rsid w:val="0077750D"/>
    <w:rsid w:val="00777518"/>
    <w:rsid w:val="0077764F"/>
    <w:rsid w:val="007777AC"/>
    <w:rsid w:val="00777892"/>
    <w:rsid w:val="00777AF2"/>
    <w:rsid w:val="00777CF7"/>
    <w:rsid w:val="00777E73"/>
    <w:rsid w:val="00777E91"/>
    <w:rsid w:val="00777ED6"/>
    <w:rsid w:val="00777F1B"/>
    <w:rsid w:val="00780487"/>
    <w:rsid w:val="0078054C"/>
    <w:rsid w:val="00780889"/>
    <w:rsid w:val="00780B4B"/>
    <w:rsid w:val="00780BDF"/>
    <w:rsid w:val="00780CBE"/>
    <w:rsid w:val="00780CF8"/>
    <w:rsid w:val="00781234"/>
    <w:rsid w:val="00781654"/>
    <w:rsid w:val="007818E3"/>
    <w:rsid w:val="00781920"/>
    <w:rsid w:val="00781F8F"/>
    <w:rsid w:val="007821D2"/>
    <w:rsid w:val="007823C4"/>
    <w:rsid w:val="00782574"/>
    <w:rsid w:val="007825FC"/>
    <w:rsid w:val="00782623"/>
    <w:rsid w:val="007826C6"/>
    <w:rsid w:val="007826C7"/>
    <w:rsid w:val="0078282F"/>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AF"/>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07"/>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B8"/>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A7FA8"/>
    <w:rsid w:val="007B00A8"/>
    <w:rsid w:val="007B0284"/>
    <w:rsid w:val="007B0317"/>
    <w:rsid w:val="007B045C"/>
    <w:rsid w:val="007B05DD"/>
    <w:rsid w:val="007B093D"/>
    <w:rsid w:val="007B0955"/>
    <w:rsid w:val="007B09CE"/>
    <w:rsid w:val="007B0E18"/>
    <w:rsid w:val="007B1332"/>
    <w:rsid w:val="007B1546"/>
    <w:rsid w:val="007B1549"/>
    <w:rsid w:val="007B161D"/>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9F"/>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15"/>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45D"/>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77D"/>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AA"/>
    <w:rsid w:val="007E60CD"/>
    <w:rsid w:val="007E60D2"/>
    <w:rsid w:val="007E6128"/>
    <w:rsid w:val="007E63FF"/>
    <w:rsid w:val="007E6474"/>
    <w:rsid w:val="007E668D"/>
    <w:rsid w:val="007E6888"/>
    <w:rsid w:val="007E696C"/>
    <w:rsid w:val="007E7384"/>
    <w:rsid w:val="007E761E"/>
    <w:rsid w:val="007E7871"/>
    <w:rsid w:val="007E7D6A"/>
    <w:rsid w:val="007E7FE9"/>
    <w:rsid w:val="007F01BB"/>
    <w:rsid w:val="007F068D"/>
    <w:rsid w:val="007F079F"/>
    <w:rsid w:val="007F0BBE"/>
    <w:rsid w:val="007F0C56"/>
    <w:rsid w:val="007F0DEE"/>
    <w:rsid w:val="007F1150"/>
    <w:rsid w:val="007F123F"/>
    <w:rsid w:val="007F142B"/>
    <w:rsid w:val="007F14C7"/>
    <w:rsid w:val="007F1816"/>
    <w:rsid w:val="007F25A2"/>
    <w:rsid w:val="007F2637"/>
    <w:rsid w:val="007F2AF7"/>
    <w:rsid w:val="007F3477"/>
    <w:rsid w:val="007F367D"/>
    <w:rsid w:val="007F3DD4"/>
    <w:rsid w:val="007F3F32"/>
    <w:rsid w:val="007F3F33"/>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BA"/>
    <w:rsid w:val="00802C0C"/>
    <w:rsid w:val="00802DAE"/>
    <w:rsid w:val="00802E50"/>
    <w:rsid w:val="00802FAF"/>
    <w:rsid w:val="00802FDA"/>
    <w:rsid w:val="00803241"/>
    <w:rsid w:val="00803819"/>
    <w:rsid w:val="00803EA0"/>
    <w:rsid w:val="00803F9F"/>
    <w:rsid w:val="00803FE6"/>
    <w:rsid w:val="00804CE3"/>
    <w:rsid w:val="0080509C"/>
    <w:rsid w:val="008051BA"/>
    <w:rsid w:val="008051EF"/>
    <w:rsid w:val="008053A8"/>
    <w:rsid w:val="0080552E"/>
    <w:rsid w:val="008056E0"/>
    <w:rsid w:val="008057C4"/>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0AC"/>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D08"/>
    <w:rsid w:val="00814F24"/>
    <w:rsid w:val="008153C6"/>
    <w:rsid w:val="008154E3"/>
    <w:rsid w:val="0081554E"/>
    <w:rsid w:val="00815734"/>
    <w:rsid w:val="00815A14"/>
    <w:rsid w:val="00815E46"/>
    <w:rsid w:val="008161D7"/>
    <w:rsid w:val="0081624F"/>
    <w:rsid w:val="008163B6"/>
    <w:rsid w:val="00816569"/>
    <w:rsid w:val="0081664E"/>
    <w:rsid w:val="00816793"/>
    <w:rsid w:val="00816794"/>
    <w:rsid w:val="008168F3"/>
    <w:rsid w:val="00816A2C"/>
    <w:rsid w:val="00817130"/>
    <w:rsid w:val="0081739E"/>
    <w:rsid w:val="00817493"/>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BE9"/>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4C1"/>
    <w:rsid w:val="00831507"/>
    <w:rsid w:val="008315F9"/>
    <w:rsid w:val="0083188A"/>
    <w:rsid w:val="00831909"/>
    <w:rsid w:val="00831D78"/>
    <w:rsid w:val="00831DB6"/>
    <w:rsid w:val="00831E98"/>
    <w:rsid w:val="00831EA7"/>
    <w:rsid w:val="00832235"/>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58"/>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E61"/>
    <w:rsid w:val="008410E8"/>
    <w:rsid w:val="008411F2"/>
    <w:rsid w:val="0084139D"/>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AF5"/>
    <w:rsid w:val="00847B2B"/>
    <w:rsid w:val="00847BD0"/>
    <w:rsid w:val="00847C94"/>
    <w:rsid w:val="00847FF3"/>
    <w:rsid w:val="0085019A"/>
    <w:rsid w:val="008504B0"/>
    <w:rsid w:val="008506D9"/>
    <w:rsid w:val="008508E6"/>
    <w:rsid w:val="00850BE3"/>
    <w:rsid w:val="00850C37"/>
    <w:rsid w:val="00850E80"/>
    <w:rsid w:val="00851058"/>
    <w:rsid w:val="008511E6"/>
    <w:rsid w:val="008515B3"/>
    <w:rsid w:val="008515EC"/>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40DB"/>
    <w:rsid w:val="008541E7"/>
    <w:rsid w:val="00854213"/>
    <w:rsid w:val="00854217"/>
    <w:rsid w:val="00854450"/>
    <w:rsid w:val="008544AC"/>
    <w:rsid w:val="00854503"/>
    <w:rsid w:val="0085466D"/>
    <w:rsid w:val="00854C76"/>
    <w:rsid w:val="00854D46"/>
    <w:rsid w:val="00854E3E"/>
    <w:rsid w:val="00854E52"/>
    <w:rsid w:val="008553AC"/>
    <w:rsid w:val="0085551C"/>
    <w:rsid w:val="008556A7"/>
    <w:rsid w:val="00855B54"/>
    <w:rsid w:val="00855DC1"/>
    <w:rsid w:val="0085629F"/>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D1"/>
    <w:rsid w:val="0086122A"/>
    <w:rsid w:val="00861708"/>
    <w:rsid w:val="00861805"/>
    <w:rsid w:val="00861A4A"/>
    <w:rsid w:val="00861A83"/>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BC8"/>
    <w:rsid w:val="00863CBF"/>
    <w:rsid w:val="00863D4D"/>
    <w:rsid w:val="00863E8E"/>
    <w:rsid w:val="00863F31"/>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C10"/>
    <w:rsid w:val="00866EA5"/>
    <w:rsid w:val="008670DB"/>
    <w:rsid w:val="0086725E"/>
    <w:rsid w:val="008672B4"/>
    <w:rsid w:val="008678DD"/>
    <w:rsid w:val="00867B7A"/>
    <w:rsid w:val="00867C69"/>
    <w:rsid w:val="00867D6C"/>
    <w:rsid w:val="00870358"/>
    <w:rsid w:val="00870891"/>
    <w:rsid w:val="00870954"/>
    <w:rsid w:val="00870967"/>
    <w:rsid w:val="00870A9D"/>
    <w:rsid w:val="00870AB6"/>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F6F"/>
    <w:rsid w:val="00884FEE"/>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108"/>
    <w:rsid w:val="008942F7"/>
    <w:rsid w:val="0089446B"/>
    <w:rsid w:val="00894522"/>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81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707C"/>
    <w:rsid w:val="008A70A5"/>
    <w:rsid w:val="008A70E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41DE"/>
    <w:rsid w:val="008B4312"/>
    <w:rsid w:val="008B453C"/>
    <w:rsid w:val="008B455D"/>
    <w:rsid w:val="008B45FB"/>
    <w:rsid w:val="008B48DA"/>
    <w:rsid w:val="008B4C78"/>
    <w:rsid w:val="008B4D5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92F"/>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51"/>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8E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A6A"/>
    <w:rsid w:val="008D4C59"/>
    <w:rsid w:val="008D4D04"/>
    <w:rsid w:val="008D4E09"/>
    <w:rsid w:val="008D53F1"/>
    <w:rsid w:val="008D5C5F"/>
    <w:rsid w:val="008D5D3C"/>
    <w:rsid w:val="008D5D76"/>
    <w:rsid w:val="008D5DDA"/>
    <w:rsid w:val="008D5F73"/>
    <w:rsid w:val="008D6097"/>
    <w:rsid w:val="008D6988"/>
    <w:rsid w:val="008D6B83"/>
    <w:rsid w:val="008D6D83"/>
    <w:rsid w:val="008D6DB1"/>
    <w:rsid w:val="008D6EEE"/>
    <w:rsid w:val="008D742E"/>
    <w:rsid w:val="008D7862"/>
    <w:rsid w:val="008D7920"/>
    <w:rsid w:val="008D7BE3"/>
    <w:rsid w:val="008D7DF0"/>
    <w:rsid w:val="008D7E68"/>
    <w:rsid w:val="008E0306"/>
    <w:rsid w:val="008E035D"/>
    <w:rsid w:val="008E04A9"/>
    <w:rsid w:val="008E073A"/>
    <w:rsid w:val="008E0CE0"/>
    <w:rsid w:val="008E0D7F"/>
    <w:rsid w:val="008E1003"/>
    <w:rsid w:val="008E11B5"/>
    <w:rsid w:val="008E1280"/>
    <w:rsid w:val="008E13D3"/>
    <w:rsid w:val="008E1854"/>
    <w:rsid w:val="008E18C2"/>
    <w:rsid w:val="008E1A9F"/>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76"/>
    <w:rsid w:val="008E49E5"/>
    <w:rsid w:val="008E4B90"/>
    <w:rsid w:val="008E4CBA"/>
    <w:rsid w:val="008E4CE3"/>
    <w:rsid w:val="008E4F24"/>
    <w:rsid w:val="008E4FB4"/>
    <w:rsid w:val="008E514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2B6"/>
    <w:rsid w:val="008F2523"/>
    <w:rsid w:val="008F253B"/>
    <w:rsid w:val="008F2598"/>
    <w:rsid w:val="008F2D82"/>
    <w:rsid w:val="008F2E57"/>
    <w:rsid w:val="008F2ED3"/>
    <w:rsid w:val="008F2ED4"/>
    <w:rsid w:val="008F2F60"/>
    <w:rsid w:val="008F3467"/>
    <w:rsid w:val="008F3588"/>
    <w:rsid w:val="008F36EF"/>
    <w:rsid w:val="008F38B3"/>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A3C"/>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1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3E4"/>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53"/>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0E"/>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33"/>
    <w:rsid w:val="00922F57"/>
    <w:rsid w:val="009232A5"/>
    <w:rsid w:val="00923437"/>
    <w:rsid w:val="009235AE"/>
    <w:rsid w:val="0092390D"/>
    <w:rsid w:val="009239F3"/>
    <w:rsid w:val="00923A26"/>
    <w:rsid w:val="00923BDD"/>
    <w:rsid w:val="009240AE"/>
    <w:rsid w:val="00924378"/>
    <w:rsid w:val="00924546"/>
    <w:rsid w:val="00924BF5"/>
    <w:rsid w:val="00924D73"/>
    <w:rsid w:val="00924EAE"/>
    <w:rsid w:val="00924FC4"/>
    <w:rsid w:val="009258CA"/>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C4"/>
    <w:rsid w:val="009332FE"/>
    <w:rsid w:val="0093366E"/>
    <w:rsid w:val="00933B5F"/>
    <w:rsid w:val="00933BA1"/>
    <w:rsid w:val="00933BAC"/>
    <w:rsid w:val="00933C8C"/>
    <w:rsid w:val="00933CDE"/>
    <w:rsid w:val="00933DFA"/>
    <w:rsid w:val="00934235"/>
    <w:rsid w:val="00934360"/>
    <w:rsid w:val="009343AC"/>
    <w:rsid w:val="009343CE"/>
    <w:rsid w:val="009344CA"/>
    <w:rsid w:val="009344DE"/>
    <w:rsid w:val="00934604"/>
    <w:rsid w:val="00934682"/>
    <w:rsid w:val="00934716"/>
    <w:rsid w:val="00934750"/>
    <w:rsid w:val="00934D4C"/>
    <w:rsid w:val="00935106"/>
    <w:rsid w:val="00935242"/>
    <w:rsid w:val="0093537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5E"/>
    <w:rsid w:val="0094098F"/>
    <w:rsid w:val="00940ACB"/>
    <w:rsid w:val="0094119D"/>
    <w:rsid w:val="00941287"/>
    <w:rsid w:val="009412B2"/>
    <w:rsid w:val="00941430"/>
    <w:rsid w:val="00941537"/>
    <w:rsid w:val="009417A9"/>
    <w:rsid w:val="00941933"/>
    <w:rsid w:val="009419E9"/>
    <w:rsid w:val="00941D8B"/>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9EB"/>
    <w:rsid w:val="00944E0B"/>
    <w:rsid w:val="00944FBA"/>
    <w:rsid w:val="00945037"/>
    <w:rsid w:val="009451E3"/>
    <w:rsid w:val="0094529B"/>
    <w:rsid w:val="009454CC"/>
    <w:rsid w:val="00945B25"/>
    <w:rsid w:val="00945CED"/>
    <w:rsid w:val="00945F2C"/>
    <w:rsid w:val="009460E2"/>
    <w:rsid w:val="0094614B"/>
    <w:rsid w:val="009461DD"/>
    <w:rsid w:val="009463D3"/>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8CB"/>
    <w:rsid w:val="009508F2"/>
    <w:rsid w:val="009509C4"/>
    <w:rsid w:val="00950B70"/>
    <w:rsid w:val="00950D1A"/>
    <w:rsid w:val="0095120E"/>
    <w:rsid w:val="00951525"/>
    <w:rsid w:val="00951666"/>
    <w:rsid w:val="00951875"/>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7DD"/>
    <w:rsid w:val="00963D2D"/>
    <w:rsid w:val="00963E98"/>
    <w:rsid w:val="00963F22"/>
    <w:rsid w:val="00964355"/>
    <w:rsid w:val="00964400"/>
    <w:rsid w:val="009647F3"/>
    <w:rsid w:val="00964B17"/>
    <w:rsid w:val="00964CFF"/>
    <w:rsid w:val="00964E52"/>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869"/>
    <w:rsid w:val="00967A37"/>
    <w:rsid w:val="00967A47"/>
    <w:rsid w:val="00967A71"/>
    <w:rsid w:val="00967FAA"/>
    <w:rsid w:val="009700CE"/>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1DEF"/>
    <w:rsid w:val="0097229F"/>
    <w:rsid w:val="009723F3"/>
    <w:rsid w:val="00972413"/>
    <w:rsid w:val="00972523"/>
    <w:rsid w:val="00972694"/>
    <w:rsid w:val="009726B1"/>
    <w:rsid w:val="009726DA"/>
    <w:rsid w:val="009727CD"/>
    <w:rsid w:val="00973188"/>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BC5"/>
    <w:rsid w:val="00974FCB"/>
    <w:rsid w:val="00975153"/>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397"/>
    <w:rsid w:val="0098163A"/>
    <w:rsid w:val="00981680"/>
    <w:rsid w:val="00981CA2"/>
    <w:rsid w:val="0098205B"/>
    <w:rsid w:val="009820CE"/>
    <w:rsid w:val="00982137"/>
    <w:rsid w:val="0098292D"/>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8BA"/>
    <w:rsid w:val="00991B29"/>
    <w:rsid w:val="00991C48"/>
    <w:rsid w:val="00991FBB"/>
    <w:rsid w:val="0099269F"/>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6DB"/>
    <w:rsid w:val="009968E0"/>
    <w:rsid w:val="00996B9D"/>
    <w:rsid w:val="0099710B"/>
    <w:rsid w:val="009973FE"/>
    <w:rsid w:val="00997490"/>
    <w:rsid w:val="00997508"/>
    <w:rsid w:val="00997749"/>
    <w:rsid w:val="00997BD1"/>
    <w:rsid w:val="00997D3B"/>
    <w:rsid w:val="00997DBD"/>
    <w:rsid w:val="00997E3D"/>
    <w:rsid w:val="00997FC2"/>
    <w:rsid w:val="009A0096"/>
    <w:rsid w:val="009A0572"/>
    <w:rsid w:val="009A078C"/>
    <w:rsid w:val="009A0940"/>
    <w:rsid w:val="009A1240"/>
    <w:rsid w:val="009A130F"/>
    <w:rsid w:val="009A13AD"/>
    <w:rsid w:val="009A18CA"/>
    <w:rsid w:val="009A193C"/>
    <w:rsid w:val="009A209D"/>
    <w:rsid w:val="009A2116"/>
    <w:rsid w:val="009A22B7"/>
    <w:rsid w:val="009A232F"/>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D4F"/>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7A8"/>
    <w:rsid w:val="009C0893"/>
    <w:rsid w:val="009C094C"/>
    <w:rsid w:val="009C0BFD"/>
    <w:rsid w:val="009C0DA7"/>
    <w:rsid w:val="009C1406"/>
    <w:rsid w:val="009C160C"/>
    <w:rsid w:val="009C17B4"/>
    <w:rsid w:val="009C1A8A"/>
    <w:rsid w:val="009C1E98"/>
    <w:rsid w:val="009C1EAB"/>
    <w:rsid w:val="009C228E"/>
    <w:rsid w:val="009C233A"/>
    <w:rsid w:val="009C260A"/>
    <w:rsid w:val="009C282C"/>
    <w:rsid w:val="009C28E2"/>
    <w:rsid w:val="009C298E"/>
    <w:rsid w:val="009C2C08"/>
    <w:rsid w:val="009C2D7B"/>
    <w:rsid w:val="009C3036"/>
    <w:rsid w:val="009C3129"/>
    <w:rsid w:val="009C32A5"/>
    <w:rsid w:val="009C32C6"/>
    <w:rsid w:val="009C342D"/>
    <w:rsid w:val="009C35E4"/>
    <w:rsid w:val="009C3612"/>
    <w:rsid w:val="009C397C"/>
    <w:rsid w:val="009C3A2D"/>
    <w:rsid w:val="009C3AEA"/>
    <w:rsid w:val="009C3B8E"/>
    <w:rsid w:val="009C3CE7"/>
    <w:rsid w:val="009C3F0D"/>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05"/>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7E3"/>
    <w:rsid w:val="009D3A03"/>
    <w:rsid w:val="009D3BD1"/>
    <w:rsid w:val="009D3FE5"/>
    <w:rsid w:val="009D471B"/>
    <w:rsid w:val="009D48DF"/>
    <w:rsid w:val="009D4DB7"/>
    <w:rsid w:val="009D4E28"/>
    <w:rsid w:val="009D4F80"/>
    <w:rsid w:val="009D505B"/>
    <w:rsid w:val="009D506E"/>
    <w:rsid w:val="009D5612"/>
    <w:rsid w:val="009D57D9"/>
    <w:rsid w:val="009D5A36"/>
    <w:rsid w:val="009D5EC1"/>
    <w:rsid w:val="009D6052"/>
    <w:rsid w:val="009D60F9"/>
    <w:rsid w:val="009D6891"/>
    <w:rsid w:val="009D6B72"/>
    <w:rsid w:val="009D6D2E"/>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34"/>
    <w:rsid w:val="009E1027"/>
    <w:rsid w:val="009E1295"/>
    <w:rsid w:val="009E1665"/>
    <w:rsid w:val="009E1908"/>
    <w:rsid w:val="009E19C2"/>
    <w:rsid w:val="009E1A34"/>
    <w:rsid w:val="009E1B7A"/>
    <w:rsid w:val="009E1B85"/>
    <w:rsid w:val="009E2AF5"/>
    <w:rsid w:val="009E2B7A"/>
    <w:rsid w:val="009E2CD6"/>
    <w:rsid w:val="009E304E"/>
    <w:rsid w:val="009E3151"/>
    <w:rsid w:val="009E3590"/>
    <w:rsid w:val="009E36BC"/>
    <w:rsid w:val="009E36EE"/>
    <w:rsid w:val="009E3D78"/>
    <w:rsid w:val="009E3E5E"/>
    <w:rsid w:val="009E45EA"/>
    <w:rsid w:val="009E4A2D"/>
    <w:rsid w:val="009E4D2F"/>
    <w:rsid w:val="009E50C1"/>
    <w:rsid w:val="009E51DE"/>
    <w:rsid w:val="009E53B3"/>
    <w:rsid w:val="009E54FA"/>
    <w:rsid w:val="009E55CA"/>
    <w:rsid w:val="009E56B8"/>
    <w:rsid w:val="009E5724"/>
    <w:rsid w:val="009E57A1"/>
    <w:rsid w:val="009E5BA6"/>
    <w:rsid w:val="009E5C9B"/>
    <w:rsid w:val="009E5CAC"/>
    <w:rsid w:val="009E5CCF"/>
    <w:rsid w:val="009E61FC"/>
    <w:rsid w:val="009E6347"/>
    <w:rsid w:val="009E675C"/>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517"/>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3640"/>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D46"/>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56"/>
    <w:rsid w:val="00A024B7"/>
    <w:rsid w:val="00A0267E"/>
    <w:rsid w:val="00A02982"/>
    <w:rsid w:val="00A02A9F"/>
    <w:rsid w:val="00A02E08"/>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607"/>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064"/>
    <w:rsid w:val="00A122AD"/>
    <w:rsid w:val="00A125CA"/>
    <w:rsid w:val="00A1266A"/>
    <w:rsid w:val="00A12736"/>
    <w:rsid w:val="00A1276C"/>
    <w:rsid w:val="00A12966"/>
    <w:rsid w:val="00A12B00"/>
    <w:rsid w:val="00A12F00"/>
    <w:rsid w:val="00A132B6"/>
    <w:rsid w:val="00A13506"/>
    <w:rsid w:val="00A13981"/>
    <w:rsid w:val="00A13D83"/>
    <w:rsid w:val="00A13E62"/>
    <w:rsid w:val="00A13FB6"/>
    <w:rsid w:val="00A142D3"/>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6F10"/>
    <w:rsid w:val="00A1754C"/>
    <w:rsid w:val="00A17709"/>
    <w:rsid w:val="00A1794F"/>
    <w:rsid w:val="00A17B5E"/>
    <w:rsid w:val="00A17D24"/>
    <w:rsid w:val="00A17F8B"/>
    <w:rsid w:val="00A17F9D"/>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4C32"/>
    <w:rsid w:val="00A24D6C"/>
    <w:rsid w:val="00A254CA"/>
    <w:rsid w:val="00A254DE"/>
    <w:rsid w:val="00A256DD"/>
    <w:rsid w:val="00A256F9"/>
    <w:rsid w:val="00A257B7"/>
    <w:rsid w:val="00A25A7B"/>
    <w:rsid w:val="00A25B96"/>
    <w:rsid w:val="00A25E77"/>
    <w:rsid w:val="00A2614E"/>
    <w:rsid w:val="00A2636A"/>
    <w:rsid w:val="00A2674D"/>
    <w:rsid w:val="00A2679F"/>
    <w:rsid w:val="00A26800"/>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58"/>
    <w:rsid w:val="00A316C0"/>
    <w:rsid w:val="00A31ACE"/>
    <w:rsid w:val="00A31AF1"/>
    <w:rsid w:val="00A31DED"/>
    <w:rsid w:val="00A31E5C"/>
    <w:rsid w:val="00A31FD0"/>
    <w:rsid w:val="00A320E0"/>
    <w:rsid w:val="00A32172"/>
    <w:rsid w:val="00A3222D"/>
    <w:rsid w:val="00A3251D"/>
    <w:rsid w:val="00A325A4"/>
    <w:rsid w:val="00A325B3"/>
    <w:rsid w:val="00A32706"/>
    <w:rsid w:val="00A327B7"/>
    <w:rsid w:val="00A329CC"/>
    <w:rsid w:val="00A32A02"/>
    <w:rsid w:val="00A32B53"/>
    <w:rsid w:val="00A32B85"/>
    <w:rsid w:val="00A32C71"/>
    <w:rsid w:val="00A32DE3"/>
    <w:rsid w:val="00A32EA8"/>
    <w:rsid w:val="00A334BB"/>
    <w:rsid w:val="00A33683"/>
    <w:rsid w:val="00A3387F"/>
    <w:rsid w:val="00A338A7"/>
    <w:rsid w:val="00A33CAE"/>
    <w:rsid w:val="00A33CD6"/>
    <w:rsid w:val="00A33E68"/>
    <w:rsid w:val="00A340CA"/>
    <w:rsid w:val="00A3452F"/>
    <w:rsid w:val="00A34E6C"/>
    <w:rsid w:val="00A353A1"/>
    <w:rsid w:val="00A354CE"/>
    <w:rsid w:val="00A355DF"/>
    <w:rsid w:val="00A357C5"/>
    <w:rsid w:val="00A35858"/>
    <w:rsid w:val="00A3588F"/>
    <w:rsid w:val="00A35923"/>
    <w:rsid w:val="00A35BE0"/>
    <w:rsid w:val="00A35DF6"/>
    <w:rsid w:val="00A35F08"/>
    <w:rsid w:val="00A36745"/>
    <w:rsid w:val="00A36A3F"/>
    <w:rsid w:val="00A36A7D"/>
    <w:rsid w:val="00A36ACD"/>
    <w:rsid w:val="00A36D3D"/>
    <w:rsid w:val="00A36FB4"/>
    <w:rsid w:val="00A36FE7"/>
    <w:rsid w:val="00A371D1"/>
    <w:rsid w:val="00A3732B"/>
    <w:rsid w:val="00A374E4"/>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956"/>
    <w:rsid w:val="00A41AFE"/>
    <w:rsid w:val="00A41DBA"/>
    <w:rsid w:val="00A42031"/>
    <w:rsid w:val="00A420DE"/>
    <w:rsid w:val="00A4240F"/>
    <w:rsid w:val="00A42934"/>
    <w:rsid w:val="00A42994"/>
    <w:rsid w:val="00A42A34"/>
    <w:rsid w:val="00A42AC8"/>
    <w:rsid w:val="00A42D05"/>
    <w:rsid w:val="00A4305C"/>
    <w:rsid w:val="00A43215"/>
    <w:rsid w:val="00A4341F"/>
    <w:rsid w:val="00A434F5"/>
    <w:rsid w:val="00A438A8"/>
    <w:rsid w:val="00A4393C"/>
    <w:rsid w:val="00A43EB6"/>
    <w:rsid w:val="00A449D1"/>
    <w:rsid w:val="00A44B5C"/>
    <w:rsid w:val="00A44C2E"/>
    <w:rsid w:val="00A44DB4"/>
    <w:rsid w:val="00A452B0"/>
    <w:rsid w:val="00A453EA"/>
    <w:rsid w:val="00A45769"/>
    <w:rsid w:val="00A45795"/>
    <w:rsid w:val="00A45A3F"/>
    <w:rsid w:val="00A45A5F"/>
    <w:rsid w:val="00A45C54"/>
    <w:rsid w:val="00A464D0"/>
    <w:rsid w:val="00A464FF"/>
    <w:rsid w:val="00A46943"/>
    <w:rsid w:val="00A469C1"/>
    <w:rsid w:val="00A46A04"/>
    <w:rsid w:val="00A46BD3"/>
    <w:rsid w:val="00A46F81"/>
    <w:rsid w:val="00A4725A"/>
    <w:rsid w:val="00A47435"/>
    <w:rsid w:val="00A4754B"/>
    <w:rsid w:val="00A475C0"/>
    <w:rsid w:val="00A47678"/>
    <w:rsid w:val="00A477DD"/>
    <w:rsid w:val="00A478F1"/>
    <w:rsid w:val="00A4798A"/>
    <w:rsid w:val="00A47B36"/>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3E45"/>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461"/>
    <w:rsid w:val="00A55549"/>
    <w:rsid w:val="00A55569"/>
    <w:rsid w:val="00A55585"/>
    <w:rsid w:val="00A55634"/>
    <w:rsid w:val="00A55913"/>
    <w:rsid w:val="00A55A50"/>
    <w:rsid w:val="00A55C47"/>
    <w:rsid w:val="00A55D54"/>
    <w:rsid w:val="00A55F05"/>
    <w:rsid w:val="00A561BE"/>
    <w:rsid w:val="00A5628E"/>
    <w:rsid w:val="00A56371"/>
    <w:rsid w:val="00A567E9"/>
    <w:rsid w:val="00A56A8B"/>
    <w:rsid w:val="00A56CF2"/>
    <w:rsid w:val="00A56F87"/>
    <w:rsid w:val="00A571B3"/>
    <w:rsid w:val="00A57228"/>
    <w:rsid w:val="00A5746B"/>
    <w:rsid w:val="00A5764A"/>
    <w:rsid w:val="00A57BD8"/>
    <w:rsid w:val="00A57F03"/>
    <w:rsid w:val="00A57F3F"/>
    <w:rsid w:val="00A607A8"/>
    <w:rsid w:val="00A60AA8"/>
    <w:rsid w:val="00A61306"/>
    <w:rsid w:val="00A614E0"/>
    <w:rsid w:val="00A6173C"/>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F1E"/>
    <w:rsid w:val="00A670A2"/>
    <w:rsid w:val="00A670D6"/>
    <w:rsid w:val="00A671C1"/>
    <w:rsid w:val="00A671DF"/>
    <w:rsid w:val="00A672AA"/>
    <w:rsid w:val="00A6730A"/>
    <w:rsid w:val="00A67380"/>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3EB"/>
    <w:rsid w:val="00A71413"/>
    <w:rsid w:val="00A714E2"/>
    <w:rsid w:val="00A7155A"/>
    <w:rsid w:val="00A71562"/>
    <w:rsid w:val="00A71825"/>
    <w:rsid w:val="00A718F3"/>
    <w:rsid w:val="00A71AD1"/>
    <w:rsid w:val="00A71C6C"/>
    <w:rsid w:val="00A71EC1"/>
    <w:rsid w:val="00A724CA"/>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84B"/>
    <w:rsid w:val="00A7599D"/>
    <w:rsid w:val="00A75A45"/>
    <w:rsid w:val="00A75B6B"/>
    <w:rsid w:val="00A75C7F"/>
    <w:rsid w:val="00A75F17"/>
    <w:rsid w:val="00A75FC1"/>
    <w:rsid w:val="00A7602D"/>
    <w:rsid w:val="00A76047"/>
    <w:rsid w:val="00A76236"/>
    <w:rsid w:val="00A765AD"/>
    <w:rsid w:val="00A76A03"/>
    <w:rsid w:val="00A76ABB"/>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AC9"/>
    <w:rsid w:val="00A83CBE"/>
    <w:rsid w:val="00A83D90"/>
    <w:rsid w:val="00A83FF3"/>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3A"/>
    <w:rsid w:val="00A87849"/>
    <w:rsid w:val="00A87894"/>
    <w:rsid w:val="00A87A71"/>
    <w:rsid w:val="00A87BD5"/>
    <w:rsid w:val="00A87F9E"/>
    <w:rsid w:val="00A90106"/>
    <w:rsid w:val="00A9016A"/>
    <w:rsid w:val="00A90635"/>
    <w:rsid w:val="00A909C7"/>
    <w:rsid w:val="00A90A5C"/>
    <w:rsid w:val="00A90AAE"/>
    <w:rsid w:val="00A90CAE"/>
    <w:rsid w:val="00A90DAD"/>
    <w:rsid w:val="00A90F7E"/>
    <w:rsid w:val="00A90F8D"/>
    <w:rsid w:val="00A91010"/>
    <w:rsid w:val="00A91068"/>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E78"/>
    <w:rsid w:val="00A96E9F"/>
    <w:rsid w:val="00A96FCD"/>
    <w:rsid w:val="00A97602"/>
    <w:rsid w:val="00A97745"/>
    <w:rsid w:val="00A9779D"/>
    <w:rsid w:val="00A97811"/>
    <w:rsid w:val="00A97B2F"/>
    <w:rsid w:val="00A97C20"/>
    <w:rsid w:val="00A97D91"/>
    <w:rsid w:val="00AA08D9"/>
    <w:rsid w:val="00AA098D"/>
    <w:rsid w:val="00AA0A31"/>
    <w:rsid w:val="00AA0B16"/>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96D"/>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90B"/>
    <w:rsid w:val="00AB3D99"/>
    <w:rsid w:val="00AB3EA4"/>
    <w:rsid w:val="00AB3F11"/>
    <w:rsid w:val="00AB45FE"/>
    <w:rsid w:val="00AB49D6"/>
    <w:rsid w:val="00AB4D84"/>
    <w:rsid w:val="00AB505A"/>
    <w:rsid w:val="00AB5061"/>
    <w:rsid w:val="00AB5081"/>
    <w:rsid w:val="00AB5092"/>
    <w:rsid w:val="00AB5501"/>
    <w:rsid w:val="00AB5713"/>
    <w:rsid w:val="00AB5ABF"/>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C025A"/>
    <w:rsid w:val="00AC0924"/>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59D"/>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EC4"/>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4EB5"/>
    <w:rsid w:val="00AD5A38"/>
    <w:rsid w:val="00AD6179"/>
    <w:rsid w:val="00AD62F6"/>
    <w:rsid w:val="00AD6420"/>
    <w:rsid w:val="00AD68C7"/>
    <w:rsid w:val="00AD6AD9"/>
    <w:rsid w:val="00AD6CBF"/>
    <w:rsid w:val="00AD73A8"/>
    <w:rsid w:val="00AD7450"/>
    <w:rsid w:val="00AD75CB"/>
    <w:rsid w:val="00AD7988"/>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0CD"/>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780"/>
    <w:rsid w:val="00AF789D"/>
    <w:rsid w:val="00AF79BF"/>
    <w:rsid w:val="00AF7CD0"/>
    <w:rsid w:val="00B0010A"/>
    <w:rsid w:val="00B005CE"/>
    <w:rsid w:val="00B006CC"/>
    <w:rsid w:val="00B007FD"/>
    <w:rsid w:val="00B00850"/>
    <w:rsid w:val="00B00AE5"/>
    <w:rsid w:val="00B00BE9"/>
    <w:rsid w:val="00B00D5B"/>
    <w:rsid w:val="00B00DC6"/>
    <w:rsid w:val="00B01567"/>
    <w:rsid w:val="00B01659"/>
    <w:rsid w:val="00B016B6"/>
    <w:rsid w:val="00B018DE"/>
    <w:rsid w:val="00B01A1D"/>
    <w:rsid w:val="00B01EC0"/>
    <w:rsid w:val="00B0203F"/>
    <w:rsid w:val="00B02119"/>
    <w:rsid w:val="00B023A6"/>
    <w:rsid w:val="00B025F8"/>
    <w:rsid w:val="00B028BC"/>
    <w:rsid w:val="00B02A09"/>
    <w:rsid w:val="00B0301B"/>
    <w:rsid w:val="00B0345A"/>
    <w:rsid w:val="00B038F0"/>
    <w:rsid w:val="00B0391C"/>
    <w:rsid w:val="00B039B4"/>
    <w:rsid w:val="00B03A4A"/>
    <w:rsid w:val="00B03C4B"/>
    <w:rsid w:val="00B03E26"/>
    <w:rsid w:val="00B03F2A"/>
    <w:rsid w:val="00B0407F"/>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6B41"/>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5E3"/>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5FC"/>
    <w:rsid w:val="00B206D2"/>
    <w:rsid w:val="00B208C5"/>
    <w:rsid w:val="00B20934"/>
    <w:rsid w:val="00B2145B"/>
    <w:rsid w:val="00B2177A"/>
    <w:rsid w:val="00B21858"/>
    <w:rsid w:val="00B21C98"/>
    <w:rsid w:val="00B21E74"/>
    <w:rsid w:val="00B22074"/>
    <w:rsid w:val="00B227CF"/>
    <w:rsid w:val="00B227D0"/>
    <w:rsid w:val="00B22A7E"/>
    <w:rsid w:val="00B22AB5"/>
    <w:rsid w:val="00B22CFE"/>
    <w:rsid w:val="00B22EBC"/>
    <w:rsid w:val="00B230A7"/>
    <w:rsid w:val="00B23208"/>
    <w:rsid w:val="00B23358"/>
    <w:rsid w:val="00B233C3"/>
    <w:rsid w:val="00B2360A"/>
    <w:rsid w:val="00B238C1"/>
    <w:rsid w:val="00B2427A"/>
    <w:rsid w:val="00B24A87"/>
    <w:rsid w:val="00B24BEA"/>
    <w:rsid w:val="00B24C47"/>
    <w:rsid w:val="00B24DA9"/>
    <w:rsid w:val="00B24E7E"/>
    <w:rsid w:val="00B24FDD"/>
    <w:rsid w:val="00B25043"/>
    <w:rsid w:val="00B250C5"/>
    <w:rsid w:val="00B250CD"/>
    <w:rsid w:val="00B25210"/>
    <w:rsid w:val="00B254B6"/>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B6F"/>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197"/>
    <w:rsid w:val="00B432B8"/>
    <w:rsid w:val="00B43C6F"/>
    <w:rsid w:val="00B43C84"/>
    <w:rsid w:val="00B43F12"/>
    <w:rsid w:val="00B440B5"/>
    <w:rsid w:val="00B4419E"/>
    <w:rsid w:val="00B4427F"/>
    <w:rsid w:val="00B44440"/>
    <w:rsid w:val="00B4459D"/>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880"/>
    <w:rsid w:val="00B62E36"/>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12D"/>
    <w:rsid w:val="00B712D5"/>
    <w:rsid w:val="00B7139C"/>
    <w:rsid w:val="00B71591"/>
    <w:rsid w:val="00B7180C"/>
    <w:rsid w:val="00B71C65"/>
    <w:rsid w:val="00B71DD5"/>
    <w:rsid w:val="00B71E36"/>
    <w:rsid w:val="00B722AB"/>
    <w:rsid w:val="00B72328"/>
    <w:rsid w:val="00B72B41"/>
    <w:rsid w:val="00B72D75"/>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470"/>
    <w:rsid w:val="00B85800"/>
    <w:rsid w:val="00B858A2"/>
    <w:rsid w:val="00B85942"/>
    <w:rsid w:val="00B85E01"/>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348"/>
    <w:rsid w:val="00B95788"/>
    <w:rsid w:val="00B958E1"/>
    <w:rsid w:val="00B95951"/>
    <w:rsid w:val="00B95A84"/>
    <w:rsid w:val="00B95A9D"/>
    <w:rsid w:val="00B95C1B"/>
    <w:rsid w:val="00B96005"/>
    <w:rsid w:val="00B964A6"/>
    <w:rsid w:val="00B9655D"/>
    <w:rsid w:val="00B9666A"/>
    <w:rsid w:val="00B9675A"/>
    <w:rsid w:val="00B96CD4"/>
    <w:rsid w:val="00B96D2D"/>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ACE"/>
    <w:rsid w:val="00BB4F6F"/>
    <w:rsid w:val="00BB4F88"/>
    <w:rsid w:val="00BB4FD5"/>
    <w:rsid w:val="00BB5029"/>
    <w:rsid w:val="00BB5087"/>
    <w:rsid w:val="00BB50BB"/>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E2B"/>
    <w:rsid w:val="00BB7EAD"/>
    <w:rsid w:val="00BB7EDE"/>
    <w:rsid w:val="00BC0060"/>
    <w:rsid w:val="00BC065D"/>
    <w:rsid w:val="00BC0914"/>
    <w:rsid w:val="00BC0A00"/>
    <w:rsid w:val="00BC0C46"/>
    <w:rsid w:val="00BC0C7D"/>
    <w:rsid w:val="00BC0E7F"/>
    <w:rsid w:val="00BC13DE"/>
    <w:rsid w:val="00BC16FD"/>
    <w:rsid w:val="00BC171D"/>
    <w:rsid w:val="00BC1790"/>
    <w:rsid w:val="00BC1980"/>
    <w:rsid w:val="00BC1BDD"/>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3E0"/>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3B5"/>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0F1B"/>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BAE"/>
    <w:rsid w:val="00BE3D93"/>
    <w:rsid w:val="00BE3E61"/>
    <w:rsid w:val="00BE3ED2"/>
    <w:rsid w:val="00BE49C4"/>
    <w:rsid w:val="00BE4C98"/>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0B3"/>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9B2"/>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C2"/>
    <w:rsid w:val="00BF4DD4"/>
    <w:rsid w:val="00BF4EDF"/>
    <w:rsid w:val="00BF4F2C"/>
    <w:rsid w:val="00BF50F8"/>
    <w:rsid w:val="00BF511F"/>
    <w:rsid w:val="00BF52FD"/>
    <w:rsid w:val="00BF53D0"/>
    <w:rsid w:val="00BF53FF"/>
    <w:rsid w:val="00BF57D6"/>
    <w:rsid w:val="00BF5953"/>
    <w:rsid w:val="00BF598E"/>
    <w:rsid w:val="00BF5993"/>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647"/>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ED4"/>
    <w:rsid w:val="00C10F10"/>
    <w:rsid w:val="00C1121C"/>
    <w:rsid w:val="00C11527"/>
    <w:rsid w:val="00C1178A"/>
    <w:rsid w:val="00C1178D"/>
    <w:rsid w:val="00C117BD"/>
    <w:rsid w:val="00C11845"/>
    <w:rsid w:val="00C1187C"/>
    <w:rsid w:val="00C11B21"/>
    <w:rsid w:val="00C11B54"/>
    <w:rsid w:val="00C11D41"/>
    <w:rsid w:val="00C11E44"/>
    <w:rsid w:val="00C120D2"/>
    <w:rsid w:val="00C121B3"/>
    <w:rsid w:val="00C124F7"/>
    <w:rsid w:val="00C1256D"/>
    <w:rsid w:val="00C12858"/>
    <w:rsid w:val="00C12B3A"/>
    <w:rsid w:val="00C12B9D"/>
    <w:rsid w:val="00C12BFA"/>
    <w:rsid w:val="00C12D12"/>
    <w:rsid w:val="00C1303F"/>
    <w:rsid w:val="00C13453"/>
    <w:rsid w:val="00C135D2"/>
    <w:rsid w:val="00C136AD"/>
    <w:rsid w:val="00C137AE"/>
    <w:rsid w:val="00C138B9"/>
    <w:rsid w:val="00C138FB"/>
    <w:rsid w:val="00C13956"/>
    <w:rsid w:val="00C13C2F"/>
    <w:rsid w:val="00C13D0F"/>
    <w:rsid w:val="00C13F8D"/>
    <w:rsid w:val="00C13FBA"/>
    <w:rsid w:val="00C140DC"/>
    <w:rsid w:val="00C14200"/>
    <w:rsid w:val="00C14338"/>
    <w:rsid w:val="00C144B8"/>
    <w:rsid w:val="00C146B8"/>
    <w:rsid w:val="00C148A0"/>
    <w:rsid w:val="00C14990"/>
    <w:rsid w:val="00C14D3C"/>
    <w:rsid w:val="00C14E6F"/>
    <w:rsid w:val="00C151E6"/>
    <w:rsid w:val="00C1542D"/>
    <w:rsid w:val="00C158DF"/>
    <w:rsid w:val="00C15BB3"/>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013"/>
    <w:rsid w:val="00C203F4"/>
    <w:rsid w:val="00C20719"/>
    <w:rsid w:val="00C20AE9"/>
    <w:rsid w:val="00C20D77"/>
    <w:rsid w:val="00C20D88"/>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023"/>
    <w:rsid w:val="00C241E8"/>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0C8"/>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6E"/>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E68"/>
    <w:rsid w:val="00C3704B"/>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3FCB"/>
    <w:rsid w:val="00C44012"/>
    <w:rsid w:val="00C44509"/>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08C"/>
    <w:rsid w:val="00C50179"/>
    <w:rsid w:val="00C50222"/>
    <w:rsid w:val="00C505EC"/>
    <w:rsid w:val="00C50612"/>
    <w:rsid w:val="00C50640"/>
    <w:rsid w:val="00C506D6"/>
    <w:rsid w:val="00C50BB4"/>
    <w:rsid w:val="00C50F6A"/>
    <w:rsid w:val="00C516CD"/>
    <w:rsid w:val="00C51836"/>
    <w:rsid w:val="00C519E8"/>
    <w:rsid w:val="00C51BE7"/>
    <w:rsid w:val="00C51D43"/>
    <w:rsid w:val="00C51D52"/>
    <w:rsid w:val="00C522AB"/>
    <w:rsid w:val="00C522DA"/>
    <w:rsid w:val="00C522F3"/>
    <w:rsid w:val="00C5238F"/>
    <w:rsid w:val="00C52395"/>
    <w:rsid w:val="00C52CB1"/>
    <w:rsid w:val="00C52ED0"/>
    <w:rsid w:val="00C530B7"/>
    <w:rsid w:val="00C532CD"/>
    <w:rsid w:val="00C534F1"/>
    <w:rsid w:val="00C53560"/>
    <w:rsid w:val="00C5371A"/>
    <w:rsid w:val="00C53768"/>
    <w:rsid w:val="00C538AC"/>
    <w:rsid w:val="00C539A5"/>
    <w:rsid w:val="00C53A47"/>
    <w:rsid w:val="00C53BC3"/>
    <w:rsid w:val="00C544C8"/>
    <w:rsid w:val="00C544F1"/>
    <w:rsid w:val="00C545CC"/>
    <w:rsid w:val="00C54A50"/>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064"/>
    <w:rsid w:val="00C5618B"/>
    <w:rsid w:val="00C56305"/>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B3B"/>
    <w:rsid w:val="00C62C29"/>
    <w:rsid w:val="00C630C0"/>
    <w:rsid w:val="00C63362"/>
    <w:rsid w:val="00C6336F"/>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6EC"/>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87E"/>
    <w:rsid w:val="00C73910"/>
    <w:rsid w:val="00C73B8E"/>
    <w:rsid w:val="00C73BC7"/>
    <w:rsid w:val="00C73C31"/>
    <w:rsid w:val="00C73CEE"/>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25"/>
    <w:rsid w:val="00C811CD"/>
    <w:rsid w:val="00C812B7"/>
    <w:rsid w:val="00C81361"/>
    <w:rsid w:val="00C813ED"/>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AFA"/>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5F"/>
    <w:rsid w:val="00C92539"/>
    <w:rsid w:val="00C9277D"/>
    <w:rsid w:val="00C927B0"/>
    <w:rsid w:val="00C92B97"/>
    <w:rsid w:val="00C92F0E"/>
    <w:rsid w:val="00C92F27"/>
    <w:rsid w:val="00C92F9D"/>
    <w:rsid w:val="00C93076"/>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19"/>
    <w:rsid w:val="00C96366"/>
    <w:rsid w:val="00C96938"/>
    <w:rsid w:val="00C96C2E"/>
    <w:rsid w:val="00C96CA0"/>
    <w:rsid w:val="00C96DB9"/>
    <w:rsid w:val="00C974C3"/>
    <w:rsid w:val="00C97669"/>
    <w:rsid w:val="00C97ABD"/>
    <w:rsid w:val="00C97BB6"/>
    <w:rsid w:val="00C97CBC"/>
    <w:rsid w:val="00C97CF9"/>
    <w:rsid w:val="00CA0099"/>
    <w:rsid w:val="00CA01EA"/>
    <w:rsid w:val="00CA020B"/>
    <w:rsid w:val="00CA030B"/>
    <w:rsid w:val="00CA046A"/>
    <w:rsid w:val="00CA061F"/>
    <w:rsid w:val="00CA09BA"/>
    <w:rsid w:val="00CA0B6E"/>
    <w:rsid w:val="00CA0BEA"/>
    <w:rsid w:val="00CA0C72"/>
    <w:rsid w:val="00CA0DA5"/>
    <w:rsid w:val="00CA0F70"/>
    <w:rsid w:val="00CA1561"/>
    <w:rsid w:val="00CA15A5"/>
    <w:rsid w:val="00CA15F3"/>
    <w:rsid w:val="00CA1781"/>
    <w:rsid w:val="00CA192A"/>
    <w:rsid w:val="00CA1B79"/>
    <w:rsid w:val="00CA1E9F"/>
    <w:rsid w:val="00CA1ED8"/>
    <w:rsid w:val="00CA1EFB"/>
    <w:rsid w:val="00CA2201"/>
    <w:rsid w:val="00CA22B4"/>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AF1"/>
    <w:rsid w:val="00CA5B35"/>
    <w:rsid w:val="00CA5B65"/>
    <w:rsid w:val="00CA5BCE"/>
    <w:rsid w:val="00CA5CCC"/>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183"/>
    <w:rsid w:val="00CB439E"/>
    <w:rsid w:val="00CB445C"/>
    <w:rsid w:val="00CB449F"/>
    <w:rsid w:val="00CB44E8"/>
    <w:rsid w:val="00CB4C16"/>
    <w:rsid w:val="00CB4DCB"/>
    <w:rsid w:val="00CB4E83"/>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4F22"/>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5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44"/>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DED"/>
    <w:rsid w:val="00CD7F67"/>
    <w:rsid w:val="00CE013A"/>
    <w:rsid w:val="00CE0553"/>
    <w:rsid w:val="00CE0596"/>
    <w:rsid w:val="00CE0602"/>
    <w:rsid w:val="00CE0658"/>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27"/>
    <w:rsid w:val="00CE2BE4"/>
    <w:rsid w:val="00CE3553"/>
    <w:rsid w:val="00CE361A"/>
    <w:rsid w:val="00CE36DF"/>
    <w:rsid w:val="00CE36F6"/>
    <w:rsid w:val="00CE37CF"/>
    <w:rsid w:val="00CE39D8"/>
    <w:rsid w:val="00CE3CD4"/>
    <w:rsid w:val="00CE3EFA"/>
    <w:rsid w:val="00CE4586"/>
    <w:rsid w:val="00CE45F0"/>
    <w:rsid w:val="00CE4B5F"/>
    <w:rsid w:val="00CE50EC"/>
    <w:rsid w:val="00CE52F6"/>
    <w:rsid w:val="00CE55F8"/>
    <w:rsid w:val="00CE5660"/>
    <w:rsid w:val="00CE59B4"/>
    <w:rsid w:val="00CE5CF9"/>
    <w:rsid w:val="00CE5EA8"/>
    <w:rsid w:val="00CE5EE7"/>
    <w:rsid w:val="00CE60E7"/>
    <w:rsid w:val="00CE617B"/>
    <w:rsid w:val="00CE6846"/>
    <w:rsid w:val="00CE68EC"/>
    <w:rsid w:val="00CE6981"/>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3EA"/>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B7B"/>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C3"/>
    <w:rsid w:val="00D02C56"/>
    <w:rsid w:val="00D02CAC"/>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5C4"/>
    <w:rsid w:val="00D066F1"/>
    <w:rsid w:val="00D06719"/>
    <w:rsid w:val="00D069D7"/>
    <w:rsid w:val="00D0743E"/>
    <w:rsid w:val="00D07543"/>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AF4"/>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50E"/>
    <w:rsid w:val="00D17638"/>
    <w:rsid w:val="00D17718"/>
    <w:rsid w:val="00D17A23"/>
    <w:rsid w:val="00D17A35"/>
    <w:rsid w:val="00D17BDE"/>
    <w:rsid w:val="00D17FB2"/>
    <w:rsid w:val="00D2021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6E"/>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7B4"/>
    <w:rsid w:val="00D27940"/>
    <w:rsid w:val="00D27AC7"/>
    <w:rsid w:val="00D27B58"/>
    <w:rsid w:val="00D27C86"/>
    <w:rsid w:val="00D27DDE"/>
    <w:rsid w:val="00D30431"/>
    <w:rsid w:val="00D3049B"/>
    <w:rsid w:val="00D3051E"/>
    <w:rsid w:val="00D3081A"/>
    <w:rsid w:val="00D30B83"/>
    <w:rsid w:val="00D30EB7"/>
    <w:rsid w:val="00D30EBE"/>
    <w:rsid w:val="00D30F71"/>
    <w:rsid w:val="00D313BF"/>
    <w:rsid w:val="00D3164B"/>
    <w:rsid w:val="00D31866"/>
    <w:rsid w:val="00D31960"/>
    <w:rsid w:val="00D31B98"/>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BD9"/>
    <w:rsid w:val="00D35CE2"/>
    <w:rsid w:val="00D35D8B"/>
    <w:rsid w:val="00D35DEF"/>
    <w:rsid w:val="00D36081"/>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6FE"/>
    <w:rsid w:val="00D40737"/>
    <w:rsid w:val="00D40766"/>
    <w:rsid w:val="00D40D83"/>
    <w:rsid w:val="00D40F55"/>
    <w:rsid w:val="00D41280"/>
    <w:rsid w:val="00D41318"/>
    <w:rsid w:val="00D41409"/>
    <w:rsid w:val="00D41635"/>
    <w:rsid w:val="00D416DF"/>
    <w:rsid w:val="00D41AB4"/>
    <w:rsid w:val="00D41CF7"/>
    <w:rsid w:val="00D41E8E"/>
    <w:rsid w:val="00D421F5"/>
    <w:rsid w:val="00D42578"/>
    <w:rsid w:val="00D425A9"/>
    <w:rsid w:val="00D4274C"/>
    <w:rsid w:val="00D427FF"/>
    <w:rsid w:val="00D42B01"/>
    <w:rsid w:val="00D42D3F"/>
    <w:rsid w:val="00D433E4"/>
    <w:rsid w:val="00D436B5"/>
    <w:rsid w:val="00D4379D"/>
    <w:rsid w:val="00D4394A"/>
    <w:rsid w:val="00D43B58"/>
    <w:rsid w:val="00D43C4D"/>
    <w:rsid w:val="00D441D3"/>
    <w:rsid w:val="00D44485"/>
    <w:rsid w:val="00D44715"/>
    <w:rsid w:val="00D447F6"/>
    <w:rsid w:val="00D44808"/>
    <w:rsid w:val="00D44BAA"/>
    <w:rsid w:val="00D44D9E"/>
    <w:rsid w:val="00D4536E"/>
    <w:rsid w:val="00D454DB"/>
    <w:rsid w:val="00D4558E"/>
    <w:rsid w:val="00D455E5"/>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B80"/>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57E0B"/>
    <w:rsid w:val="00D60003"/>
    <w:rsid w:val="00D60004"/>
    <w:rsid w:val="00D60239"/>
    <w:rsid w:val="00D607BC"/>
    <w:rsid w:val="00D60844"/>
    <w:rsid w:val="00D60C9E"/>
    <w:rsid w:val="00D60CBA"/>
    <w:rsid w:val="00D60E37"/>
    <w:rsid w:val="00D60E52"/>
    <w:rsid w:val="00D612E5"/>
    <w:rsid w:val="00D613DD"/>
    <w:rsid w:val="00D614C2"/>
    <w:rsid w:val="00D6172A"/>
    <w:rsid w:val="00D61854"/>
    <w:rsid w:val="00D61898"/>
    <w:rsid w:val="00D61961"/>
    <w:rsid w:val="00D61B4E"/>
    <w:rsid w:val="00D61B5B"/>
    <w:rsid w:val="00D61B83"/>
    <w:rsid w:val="00D61ED7"/>
    <w:rsid w:val="00D627A0"/>
    <w:rsid w:val="00D62979"/>
    <w:rsid w:val="00D62F1E"/>
    <w:rsid w:val="00D62F5A"/>
    <w:rsid w:val="00D63073"/>
    <w:rsid w:val="00D63277"/>
    <w:rsid w:val="00D63446"/>
    <w:rsid w:val="00D635E6"/>
    <w:rsid w:val="00D6360E"/>
    <w:rsid w:val="00D63692"/>
    <w:rsid w:val="00D638BC"/>
    <w:rsid w:val="00D6395E"/>
    <w:rsid w:val="00D63A15"/>
    <w:rsid w:val="00D63AFC"/>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5BD"/>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0D3"/>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73"/>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815"/>
    <w:rsid w:val="00D829B6"/>
    <w:rsid w:val="00D82BE8"/>
    <w:rsid w:val="00D82E64"/>
    <w:rsid w:val="00D82EEC"/>
    <w:rsid w:val="00D8326B"/>
    <w:rsid w:val="00D833E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3BD"/>
    <w:rsid w:val="00D876A6"/>
    <w:rsid w:val="00D87796"/>
    <w:rsid w:val="00D878B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BA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7A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3DD7"/>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0C"/>
    <w:rsid w:val="00DB0925"/>
    <w:rsid w:val="00DB0965"/>
    <w:rsid w:val="00DB0B05"/>
    <w:rsid w:val="00DB0B21"/>
    <w:rsid w:val="00DB0C28"/>
    <w:rsid w:val="00DB0C51"/>
    <w:rsid w:val="00DB0C7E"/>
    <w:rsid w:val="00DB0DEF"/>
    <w:rsid w:val="00DB1188"/>
    <w:rsid w:val="00DB1992"/>
    <w:rsid w:val="00DB1C93"/>
    <w:rsid w:val="00DB1D68"/>
    <w:rsid w:val="00DB2062"/>
    <w:rsid w:val="00DB2198"/>
    <w:rsid w:val="00DB22EB"/>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E2"/>
    <w:rsid w:val="00DC26FC"/>
    <w:rsid w:val="00DC296D"/>
    <w:rsid w:val="00DC2A68"/>
    <w:rsid w:val="00DC2BD7"/>
    <w:rsid w:val="00DC2E1B"/>
    <w:rsid w:val="00DC3262"/>
    <w:rsid w:val="00DC33E9"/>
    <w:rsid w:val="00DC34BE"/>
    <w:rsid w:val="00DC36ED"/>
    <w:rsid w:val="00DC378A"/>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284"/>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1A9"/>
    <w:rsid w:val="00DE1311"/>
    <w:rsid w:val="00DE1C38"/>
    <w:rsid w:val="00DE1D3C"/>
    <w:rsid w:val="00DE1DE5"/>
    <w:rsid w:val="00DE201F"/>
    <w:rsid w:val="00DE216C"/>
    <w:rsid w:val="00DE2373"/>
    <w:rsid w:val="00DE256A"/>
    <w:rsid w:val="00DE258D"/>
    <w:rsid w:val="00DE2685"/>
    <w:rsid w:val="00DE26F0"/>
    <w:rsid w:val="00DE27EE"/>
    <w:rsid w:val="00DE2D31"/>
    <w:rsid w:val="00DE2E58"/>
    <w:rsid w:val="00DE2E65"/>
    <w:rsid w:val="00DE2E6E"/>
    <w:rsid w:val="00DE3193"/>
    <w:rsid w:val="00DE3404"/>
    <w:rsid w:val="00DE3493"/>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855"/>
    <w:rsid w:val="00DE491A"/>
    <w:rsid w:val="00DE4B75"/>
    <w:rsid w:val="00DE4D43"/>
    <w:rsid w:val="00DE50F4"/>
    <w:rsid w:val="00DE514F"/>
    <w:rsid w:val="00DE52F6"/>
    <w:rsid w:val="00DE5603"/>
    <w:rsid w:val="00DE578B"/>
    <w:rsid w:val="00DE57E0"/>
    <w:rsid w:val="00DE5BC8"/>
    <w:rsid w:val="00DE5CEB"/>
    <w:rsid w:val="00DE5E62"/>
    <w:rsid w:val="00DE5ED6"/>
    <w:rsid w:val="00DE6194"/>
    <w:rsid w:val="00DE6254"/>
    <w:rsid w:val="00DE62F6"/>
    <w:rsid w:val="00DE6335"/>
    <w:rsid w:val="00DE63EE"/>
    <w:rsid w:val="00DE64C8"/>
    <w:rsid w:val="00DE66F5"/>
    <w:rsid w:val="00DE6AF2"/>
    <w:rsid w:val="00DE70EE"/>
    <w:rsid w:val="00DE73BB"/>
    <w:rsid w:val="00DE77E8"/>
    <w:rsid w:val="00DE78D7"/>
    <w:rsid w:val="00DE7B74"/>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56F"/>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810"/>
    <w:rsid w:val="00DF69C2"/>
    <w:rsid w:val="00DF6B1F"/>
    <w:rsid w:val="00DF6CB3"/>
    <w:rsid w:val="00DF70CB"/>
    <w:rsid w:val="00DF7171"/>
    <w:rsid w:val="00DF72FC"/>
    <w:rsid w:val="00DF72FD"/>
    <w:rsid w:val="00DF74FF"/>
    <w:rsid w:val="00DF751E"/>
    <w:rsid w:val="00DF76C1"/>
    <w:rsid w:val="00DF7816"/>
    <w:rsid w:val="00DF7B84"/>
    <w:rsid w:val="00DF7DE4"/>
    <w:rsid w:val="00DF7E48"/>
    <w:rsid w:val="00DF7E78"/>
    <w:rsid w:val="00E00324"/>
    <w:rsid w:val="00E004A4"/>
    <w:rsid w:val="00E006B5"/>
    <w:rsid w:val="00E00995"/>
    <w:rsid w:val="00E009D5"/>
    <w:rsid w:val="00E00FE0"/>
    <w:rsid w:val="00E0139C"/>
    <w:rsid w:val="00E013DF"/>
    <w:rsid w:val="00E0164E"/>
    <w:rsid w:val="00E0192B"/>
    <w:rsid w:val="00E0196A"/>
    <w:rsid w:val="00E01B66"/>
    <w:rsid w:val="00E01C15"/>
    <w:rsid w:val="00E01C26"/>
    <w:rsid w:val="00E01D17"/>
    <w:rsid w:val="00E02176"/>
    <w:rsid w:val="00E021D3"/>
    <w:rsid w:val="00E023B2"/>
    <w:rsid w:val="00E029F3"/>
    <w:rsid w:val="00E02B96"/>
    <w:rsid w:val="00E02B9C"/>
    <w:rsid w:val="00E03380"/>
    <w:rsid w:val="00E033B0"/>
    <w:rsid w:val="00E034AA"/>
    <w:rsid w:val="00E0370C"/>
    <w:rsid w:val="00E03778"/>
    <w:rsid w:val="00E03C00"/>
    <w:rsid w:val="00E03F17"/>
    <w:rsid w:val="00E03F2A"/>
    <w:rsid w:val="00E04103"/>
    <w:rsid w:val="00E04879"/>
    <w:rsid w:val="00E04C71"/>
    <w:rsid w:val="00E04E48"/>
    <w:rsid w:val="00E04F0D"/>
    <w:rsid w:val="00E04FB1"/>
    <w:rsid w:val="00E05004"/>
    <w:rsid w:val="00E054FE"/>
    <w:rsid w:val="00E055D1"/>
    <w:rsid w:val="00E055D8"/>
    <w:rsid w:val="00E05667"/>
    <w:rsid w:val="00E057BF"/>
    <w:rsid w:val="00E05DDE"/>
    <w:rsid w:val="00E06174"/>
    <w:rsid w:val="00E06175"/>
    <w:rsid w:val="00E064B7"/>
    <w:rsid w:val="00E064DB"/>
    <w:rsid w:val="00E0652B"/>
    <w:rsid w:val="00E067A4"/>
    <w:rsid w:val="00E0696B"/>
    <w:rsid w:val="00E06C7A"/>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29"/>
    <w:rsid w:val="00E103A3"/>
    <w:rsid w:val="00E10410"/>
    <w:rsid w:val="00E104A0"/>
    <w:rsid w:val="00E108D2"/>
    <w:rsid w:val="00E108E9"/>
    <w:rsid w:val="00E10C77"/>
    <w:rsid w:val="00E10E8C"/>
    <w:rsid w:val="00E11133"/>
    <w:rsid w:val="00E114B4"/>
    <w:rsid w:val="00E11BFF"/>
    <w:rsid w:val="00E1211F"/>
    <w:rsid w:val="00E121D9"/>
    <w:rsid w:val="00E1224C"/>
    <w:rsid w:val="00E1227B"/>
    <w:rsid w:val="00E123E5"/>
    <w:rsid w:val="00E12480"/>
    <w:rsid w:val="00E1278F"/>
    <w:rsid w:val="00E12A72"/>
    <w:rsid w:val="00E12AEA"/>
    <w:rsid w:val="00E12AEF"/>
    <w:rsid w:val="00E12CAB"/>
    <w:rsid w:val="00E12D19"/>
    <w:rsid w:val="00E12F38"/>
    <w:rsid w:val="00E14225"/>
    <w:rsid w:val="00E1446D"/>
    <w:rsid w:val="00E14AAC"/>
    <w:rsid w:val="00E14CAC"/>
    <w:rsid w:val="00E14CF8"/>
    <w:rsid w:val="00E14D4E"/>
    <w:rsid w:val="00E14E07"/>
    <w:rsid w:val="00E14F04"/>
    <w:rsid w:val="00E14FA3"/>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87C"/>
    <w:rsid w:val="00E16A38"/>
    <w:rsid w:val="00E16EC1"/>
    <w:rsid w:val="00E16FB2"/>
    <w:rsid w:val="00E16FB8"/>
    <w:rsid w:val="00E17415"/>
    <w:rsid w:val="00E175C0"/>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766E"/>
    <w:rsid w:val="00E277E5"/>
    <w:rsid w:val="00E27820"/>
    <w:rsid w:val="00E27C43"/>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6D3"/>
    <w:rsid w:val="00E3382C"/>
    <w:rsid w:val="00E33D57"/>
    <w:rsid w:val="00E34029"/>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81"/>
    <w:rsid w:val="00E42EAE"/>
    <w:rsid w:val="00E43000"/>
    <w:rsid w:val="00E434E5"/>
    <w:rsid w:val="00E434F6"/>
    <w:rsid w:val="00E438AE"/>
    <w:rsid w:val="00E43F68"/>
    <w:rsid w:val="00E440B2"/>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C40"/>
    <w:rsid w:val="00E46D77"/>
    <w:rsid w:val="00E46F21"/>
    <w:rsid w:val="00E47040"/>
    <w:rsid w:val="00E470AB"/>
    <w:rsid w:val="00E472E9"/>
    <w:rsid w:val="00E473E8"/>
    <w:rsid w:val="00E47643"/>
    <w:rsid w:val="00E47958"/>
    <w:rsid w:val="00E47C4F"/>
    <w:rsid w:val="00E47F54"/>
    <w:rsid w:val="00E50111"/>
    <w:rsid w:val="00E505F8"/>
    <w:rsid w:val="00E50C1A"/>
    <w:rsid w:val="00E512FA"/>
    <w:rsid w:val="00E5148F"/>
    <w:rsid w:val="00E51CAD"/>
    <w:rsid w:val="00E51CB7"/>
    <w:rsid w:val="00E51CD4"/>
    <w:rsid w:val="00E51CD8"/>
    <w:rsid w:val="00E51EC3"/>
    <w:rsid w:val="00E51EEE"/>
    <w:rsid w:val="00E5209B"/>
    <w:rsid w:val="00E5222B"/>
    <w:rsid w:val="00E52354"/>
    <w:rsid w:val="00E52449"/>
    <w:rsid w:val="00E524FC"/>
    <w:rsid w:val="00E52664"/>
    <w:rsid w:val="00E52707"/>
    <w:rsid w:val="00E52A86"/>
    <w:rsid w:val="00E53462"/>
    <w:rsid w:val="00E535E1"/>
    <w:rsid w:val="00E53878"/>
    <w:rsid w:val="00E53CB5"/>
    <w:rsid w:val="00E53D91"/>
    <w:rsid w:val="00E53F04"/>
    <w:rsid w:val="00E541BF"/>
    <w:rsid w:val="00E541E6"/>
    <w:rsid w:val="00E54300"/>
    <w:rsid w:val="00E54390"/>
    <w:rsid w:val="00E549FC"/>
    <w:rsid w:val="00E54AB3"/>
    <w:rsid w:val="00E54AC7"/>
    <w:rsid w:val="00E54E54"/>
    <w:rsid w:val="00E54E60"/>
    <w:rsid w:val="00E54E9E"/>
    <w:rsid w:val="00E54F7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6F"/>
    <w:rsid w:val="00E64E8A"/>
    <w:rsid w:val="00E64FA1"/>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A26"/>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4F0"/>
    <w:rsid w:val="00E74667"/>
    <w:rsid w:val="00E74697"/>
    <w:rsid w:val="00E74700"/>
    <w:rsid w:val="00E74721"/>
    <w:rsid w:val="00E74736"/>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4C9"/>
    <w:rsid w:val="00E847E2"/>
    <w:rsid w:val="00E848CB"/>
    <w:rsid w:val="00E84A64"/>
    <w:rsid w:val="00E84B64"/>
    <w:rsid w:val="00E84BC9"/>
    <w:rsid w:val="00E8512F"/>
    <w:rsid w:val="00E851B5"/>
    <w:rsid w:val="00E853AA"/>
    <w:rsid w:val="00E85EAA"/>
    <w:rsid w:val="00E85FE0"/>
    <w:rsid w:val="00E86126"/>
    <w:rsid w:val="00E86144"/>
    <w:rsid w:val="00E8625D"/>
    <w:rsid w:val="00E86531"/>
    <w:rsid w:val="00E865EB"/>
    <w:rsid w:val="00E86662"/>
    <w:rsid w:val="00E86712"/>
    <w:rsid w:val="00E8673A"/>
    <w:rsid w:val="00E86AC8"/>
    <w:rsid w:val="00E86B3A"/>
    <w:rsid w:val="00E86EF6"/>
    <w:rsid w:val="00E86FDA"/>
    <w:rsid w:val="00E871E7"/>
    <w:rsid w:val="00E87229"/>
    <w:rsid w:val="00E8727E"/>
    <w:rsid w:val="00E87816"/>
    <w:rsid w:val="00E8782C"/>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7A1"/>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1F0"/>
    <w:rsid w:val="00EA5420"/>
    <w:rsid w:val="00EA56D0"/>
    <w:rsid w:val="00EA578A"/>
    <w:rsid w:val="00EA57FB"/>
    <w:rsid w:val="00EA599C"/>
    <w:rsid w:val="00EA5CA3"/>
    <w:rsid w:val="00EA5DA1"/>
    <w:rsid w:val="00EA61D3"/>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014"/>
    <w:rsid w:val="00EB04CE"/>
    <w:rsid w:val="00EB0778"/>
    <w:rsid w:val="00EB0896"/>
    <w:rsid w:val="00EB0902"/>
    <w:rsid w:val="00EB0E79"/>
    <w:rsid w:val="00EB0EC7"/>
    <w:rsid w:val="00EB1381"/>
    <w:rsid w:val="00EB175A"/>
    <w:rsid w:val="00EB18FC"/>
    <w:rsid w:val="00EB196C"/>
    <w:rsid w:val="00EB1A49"/>
    <w:rsid w:val="00EB1F55"/>
    <w:rsid w:val="00EB204E"/>
    <w:rsid w:val="00EB242A"/>
    <w:rsid w:val="00EB286D"/>
    <w:rsid w:val="00EB2AC0"/>
    <w:rsid w:val="00EB2CD4"/>
    <w:rsid w:val="00EB2D9E"/>
    <w:rsid w:val="00EB2E9D"/>
    <w:rsid w:val="00EB2F36"/>
    <w:rsid w:val="00EB311E"/>
    <w:rsid w:val="00EB32E0"/>
    <w:rsid w:val="00EB359A"/>
    <w:rsid w:val="00EB36D1"/>
    <w:rsid w:val="00EB3745"/>
    <w:rsid w:val="00EB3B12"/>
    <w:rsid w:val="00EB3C1D"/>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688"/>
    <w:rsid w:val="00EC38B9"/>
    <w:rsid w:val="00EC3DCD"/>
    <w:rsid w:val="00EC404E"/>
    <w:rsid w:val="00EC42DC"/>
    <w:rsid w:val="00EC4430"/>
    <w:rsid w:val="00EC45F0"/>
    <w:rsid w:val="00EC485C"/>
    <w:rsid w:val="00EC4902"/>
    <w:rsid w:val="00EC4AA8"/>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5EF1"/>
    <w:rsid w:val="00ED646D"/>
    <w:rsid w:val="00ED66C2"/>
    <w:rsid w:val="00ED6901"/>
    <w:rsid w:val="00ED6CAF"/>
    <w:rsid w:val="00ED6CB3"/>
    <w:rsid w:val="00ED6EFD"/>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AF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EAF"/>
    <w:rsid w:val="00EE4FE0"/>
    <w:rsid w:val="00EE54C8"/>
    <w:rsid w:val="00EE5585"/>
    <w:rsid w:val="00EE5C0B"/>
    <w:rsid w:val="00EE5C7F"/>
    <w:rsid w:val="00EE5CAC"/>
    <w:rsid w:val="00EE5EBA"/>
    <w:rsid w:val="00EE5EF9"/>
    <w:rsid w:val="00EE5F39"/>
    <w:rsid w:val="00EE6159"/>
    <w:rsid w:val="00EE6997"/>
    <w:rsid w:val="00EE6E8C"/>
    <w:rsid w:val="00EE7086"/>
    <w:rsid w:val="00EE7281"/>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54"/>
    <w:rsid w:val="00EF4BFE"/>
    <w:rsid w:val="00EF4FBF"/>
    <w:rsid w:val="00EF51DD"/>
    <w:rsid w:val="00EF56D9"/>
    <w:rsid w:val="00EF5727"/>
    <w:rsid w:val="00EF5763"/>
    <w:rsid w:val="00EF579F"/>
    <w:rsid w:val="00EF596F"/>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B16"/>
    <w:rsid w:val="00F01F30"/>
    <w:rsid w:val="00F01F70"/>
    <w:rsid w:val="00F01FC3"/>
    <w:rsid w:val="00F02183"/>
    <w:rsid w:val="00F02949"/>
    <w:rsid w:val="00F02D38"/>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3AF"/>
    <w:rsid w:val="00F04609"/>
    <w:rsid w:val="00F047C7"/>
    <w:rsid w:val="00F04C96"/>
    <w:rsid w:val="00F0500C"/>
    <w:rsid w:val="00F052F0"/>
    <w:rsid w:val="00F0538B"/>
    <w:rsid w:val="00F06190"/>
    <w:rsid w:val="00F061EB"/>
    <w:rsid w:val="00F06396"/>
    <w:rsid w:val="00F06408"/>
    <w:rsid w:val="00F065BA"/>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14B"/>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3E9"/>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2CD2"/>
    <w:rsid w:val="00F230B6"/>
    <w:rsid w:val="00F2327A"/>
    <w:rsid w:val="00F2343B"/>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AAC"/>
    <w:rsid w:val="00F26E9E"/>
    <w:rsid w:val="00F2736E"/>
    <w:rsid w:val="00F2758A"/>
    <w:rsid w:val="00F27599"/>
    <w:rsid w:val="00F2783E"/>
    <w:rsid w:val="00F27A94"/>
    <w:rsid w:val="00F27AA2"/>
    <w:rsid w:val="00F27AC7"/>
    <w:rsid w:val="00F30395"/>
    <w:rsid w:val="00F308D7"/>
    <w:rsid w:val="00F30A69"/>
    <w:rsid w:val="00F30B06"/>
    <w:rsid w:val="00F30CDC"/>
    <w:rsid w:val="00F30FB9"/>
    <w:rsid w:val="00F310C5"/>
    <w:rsid w:val="00F31256"/>
    <w:rsid w:val="00F31793"/>
    <w:rsid w:val="00F31C12"/>
    <w:rsid w:val="00F31C57"/>
    <w:rsid w:val="00F3221A"/>
    <w:rsid w:val="00F32479"/>
    <w:rsid w:val="00F326C2"/>
    <w:rsid w:val="00F3276D"/>
    <w:rsid w:val="00F327CE"/>
    <w:rsid w:val="00F328E2"/>
    <w:rsid w:val="00F3298F"/>
    <w:rsid w:val="00F32DAA"/>
    <w:rsid w:val="00F32EEC"/>
    <w:rsid w:val="00F32F97"/>
    <w:rsid w:val="00F33167"/>
    <w:rsid w:val="00F331DD"/>
    <w:rsid w:val="00F3323E"/>
    <w:rsid w:val="00F332CA"/>
    <w:rsid w:val="00F33488"/>
    <w:rsid w:val="00F337D3"/>
    <w:rsid w:val="00F33C64"/>
    <w:rsid w:val="00F33E3D"/>
    <w:rsid w:val="00F33F8E"/>
    <w:rsid w:val="00F3405B"/>
    <w:rsid w:val="00F34372"/>
    <w:rsid w:val="00F34D39"/>
    <w:rsid w:val="00F34DEC"/>
    <w:rsid w:val="00F350F9"/>
    <w:rsid w:val="00F35241"/>
    <w:rsid w:val="00F35513"/>
    <w:rsid w:val="00F359F4"/>
    <w:rsid w:val="00F35ADE"/>
    <w:rsid w:val="00F35BEF"/>
    <w:rsid w:val="00F35C3F"/>
    <w:rsid w:val="00F35E10"/>
    <w:rsid w:val="00F35E96"/>
    <w:rsid w:val="00F361A8"/>
    <w:rsid w:val="00F36456"/>
    <w:rsid w:val="00F364E7"/>
    <w:rsid w:val="00F367AB"/>
    <w:rsid w:val="00F36879"/>
    <w:rsid w:val="00F36AE7"/>
    <w:rsid w:val="00F36D9F"/>
    <w:rsid w:val="00F36EB9"/>
    <w:rsid w:val="00F377C5"/>
    <w:rsid w:val="00F37811"/>
    <w:rsid w:val="00F37A3A"/>
    <w:rsid w:val="00F37F0C"/>
    <w:rsid w:val="00F400BB"/>
    <w:rsid w:val="00F400DD"/>
    <w:rsid w:val="00F402BB"/>
    <w:rsid w:val="00F40327"/>
    <w:rsid w:val="00F4069B"/>
    <w:rsid w:val="00F40728"/>
    <w:rsid w:val="00F408A7"/>
    <w:rsid w:val="00F4095E"/>
    <w:rsid w:val="00F40AAD"/>
    <w:rsid w:val="00F40AB2"/>
    <w:rsid w:val="00F40ACC"/>
    <w:rsid w:val="00F40B69"/>
    <w:rsid w:val="00F40CEB"/>
    <w:rsid w:val="00F40CF2"/>
    <w:rsid w:val="00F40F38"/>
    <w:rsid w:val="00F40FB4"/>
    <w:rsid w:val="00F41247"/>
    <w:rsid w:val="00F4132B"/>
    <w:rsid w:val="00F413BA"/>
    <w:rsid w:val="00F414AE"/>
    <w:rsid w:val="00F416A3"/>
    <w:rsid w:val="00F4183B"/>
    <w:rsid w:val="00F41D8D"/>
    <w:rsid w:val="00F41E1B"/>
    <w:rsid w:val="00F41EB9"/>
    <w:rsid w:val="00F41EEE"/>
    <w:rsid w:val="00F41FCD"/>
    <w:rsid w:val="00F42064"/>
    <w:rsid w:val="00F42265"/>
    <w:rsid w:val="00F4233A"/>
    <w:rsid w:val="00F42375"/>
    <w:rsid w:val="00F42482"/>
    <w:rsid w:val="00F4273F"/>
    <w:rsid w:val="00F4282D"/>
    <w:rsid w:val="00F42E81"/>
    <w:rsid w:val="00F430BA"/>
    <w:rsid w:val="00F430DC"/>
    <w:rsid w:val="00F43166"/>
    <w:rsid w:val="00F432BA"/>
    <w:rsid w:val="00F434FA"/>
    <w:rsid w:val="00F435FE"/>
    <w:rsid w:val="00F4379E"/>
    <w:rsid w:val="00F438EF"/>
    <w:rsid w:val="00F43957"/>
    <w:rsid w:val="00F43A80"/>
    <w:rsid w:val="00F43FAD"/>
    <w:rsid w:val="00F4433B"/>
    <w:rsid w:val="00F4433D"/>
    <w:rsid w:val="00F445C2"/>
    <w:rsid w:val="00F44844"/>
    <w:rsid w:val="00F449B9"/>
    <w:rsid w:val="00F44AE7"/>
    <w:rsid w:val="00F44CF4"/>
    <w:rsid w:val="00F44DCF"/>
    <w:rsid w:val="00F44ECA"/>
    <w:rsid w:val="00F44FA7"/>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85"/>
    <w:rsid w:val="00F51EF1"/>
    <w:rsid w:val="00F51FCE"/>
    <w:rsid w:val="00F521AF"/>
    <w:rsid w:val="00F52407"/>
    <w:rsid w:val="00F527DD"/>
    <w:rsid w:val="00F52A19"/>
    <w:rsid w:val="00F52B51"/>
    <w:rsid w:val="00F52BFD"/>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445"/>
    <w:rsid w:val="00F57882"/>
    <w:rsid w:val="00F5788B"/>
    <w:rsid w:val="00F57906"/>
    <w:rsid w:val="00F5797A"/>
    <w:rsid w:val="00F579BD"/>
    <w:rsid w:val="00F57B99"/>
    <w:rsid w:val="00F600C3"/>
    <w:rsid w:val="00F60144"/>
    <w:rsid w:val="00F601CA"/>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528"/>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B33"/>
    <w:rsid w:val="00F63D00"/>
    <w:rsid w:val="00F641FB"/>
    <w:rsid w:val="00F64311"/>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CFC"/>
    <w:rsid w:val="00F66E65"/>
    <w:rsid w:val="00F66ECA"/>
    <w:rsid w:val="00F66FBD"/>
    <w:rsid w:val="00F66FEE"/>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7A"/>
    <w:rsid w:val="00F715F0"/>
    <w:rsid w:val="00F71976"/>
    <w:rsid w:val="00F71ABB"/>
    <w:rsid w:val="00F71B5A"/>
    <w:rsid w:val="00F71C39"/>
    <w:rsid w:val="00F71D18"/>
    <w:rsid w:val="00F71D1F"/>
    <w:rsid w:val="00F720A2"/>
    <w:rsid w:val="00F723B8"/>
    <w:rsid w:val="00F7259B"/>
    <w:rsid w:val="00F727EB"/>
    <w:rsid w:val="00F72A33"/>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3CB"/>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1AD"/>
    <w:rsid w:val="00F86530"/>
    <w:rsid w:val="00F867ED"/>
    <w:rsid w:val="00F868FE"/>
    <w:rsid w:val="00F86A8A"/>
    <w:rsid w:val="00F86BA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6AA"/>
    <w:rsid w:val="00F9473E"/>
    <w:rsid w:val="00F94826"/>
    <w:rsid w:val="00F949E2"/>
    <w:rsid w:val="00F94E4D"/>
    <w:rsid w:val="00F94E77"/>
    <w:rsid w:val="00F94F31"/>
    <w:rsid w:val="00F94F99"/>
    <w:rsid w:val="00F9525D"/>
    <w:rsid w:val="00F9568E"/>
    <w:rsid w:val="00F95B1E"/>
    <w:rsid w:val="00F95D04"/>
    <w:rsid w:val="00F95E94"/>
    <w:rsid w:val="00F95EDD"/>
    <w:rsid w:val="00F960C2"/>
    <w:rsid w:val="00F9611A"/>
    <w:rsid w:val="00F9636A"/>
    <w:rsid w:val="00F963E9"/>
    <w:rsid w:val="00F9661F"/>
    <w:rsid w:val="00F96A95"/>
    <w:rsid w:val="00F96B61"/>
    <w:rsid w:val="00F96E5E"/>
    <w:rsid w:val="00F96F30"/>
    <w:rsid w:val="00F96FED"/>
    <w:rsid w:val="00F9735C"/>
    <w:rsid w:val="00F977B5"/>
    <w:rsid w:val="00F978A7"/>
    <w:rsid w:val="00F97AA8"/>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A9A"/>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B0D"/>
    <w:rsid w:val="00FA6B6A"/>
    <w:rsid w:val="00FA6C85"/>
    <w:rsid w:val="00FA6E14"/>
    <w:rsid w:val="00FA6F35"/>
    <w:rsid w:val="00FA7008"/>
    <w:rsid w:val="00FA722D"/>
    <w:rsid w:val="00FA7357"/>
    <w:rsid w:val="00FA739C"/>
    <w:rsid w:val="00FA7463"/>
    <w:rsid w:val="00FA7BB4"/>
    <w:rsid w:val="00FA7C68"/>
    <w:rsid w:val="00FA7CC5"/>
    <w:rsid w:val="00FA7D34"/>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6A"/>
    <w:rsid w:val="00FB53C8"/>
    <w:rsid w:val="00FB53D1"/>
    <w:rsid w:val="00FB552C"/>
    <w:rsid w:val="00FB55F9"/>
    <w:rsid w:val="00FB59AB"/>
    <w:rsid w:val="00FB5D05"/>
    <w:rsid w:val="00FB5DF1"/>
    <w:rsid w:val="00FB5FF6"/>
    <w:rsid w:val="00FB6116"/>
    <w:rsid w:val="00FB6368"/>
    <w:rsid w:val="00FB65B8"/>
    <w:rsid w:val="00FB6909"/>
    <w:rsid w:val="00FB6A17"/>
    <w:rsid w:val="00FB6C71"/>
    <w:rsid w:val="00FB6EF3"/>
    <w:rsid w:val="00FB6EF8"/>
    <w:rsid w:val="00FB6FA1"/>
    <w:rsid w:val="00FB7564"/>
    <w:rsid w:val="00FB78CE"/>
    <w:rsid w:val="00FB78EC"/>
    <w:rsid w:val="00FB793F"/>
    <w:rsid w:val="00FB7A65"/>
    <w:rsid w:val="00FB7AB9"/>
    <w:rsid w:val="00FB7B20"/>
    <w:rsid w:val="00FB7C61"/>
    <w:rsid w:val="00FB7D5A"/>
    <w:rsid w:val="00FB7F93"/>
    <w:rsid w:val="00FC0221"/>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9B2"/>
    <w:rsid w:val="00FC5B62"/>
    <w:rsid w:val="00FC62E8"/>
    <w:rsid w:val="00FC67BF"/>
    <w:rsid w:val="00FC6A5C"/>
    <w:rsid w:val="00FC6E67"/>
    <w:rsid w:val="00FC6E8F"/>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7CC"/>
    <w:rsid w:val="00FD3B28"/>
    <w:rsid w:val="00FD3B55"/>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61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DAC"/>
    <w:rsid w:val="00FE7F2B"/>
    <w:rsid w:val="00FF0050"/>
    <w:rsid w:val="00FF02D0"/>
    <w:rsid w:val="00FF02D4"/>
    <w:rsid w:val="00FF02E0"/>
    <w:rsid w:val="00FF05B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5E3C"/>
    <w:rsid w:val="00FF62A7"/>
    <w:rsid w:val="00FF644F"/>
    <w:rsid w:val="00FF6784"/>
    <w:rsid w:val="00FF678F"/>
    <w:rsid w:val="00FF6E3C"/>
    <w:rsid w:val="00FF721C"/>
    <w:rsid w:val="00FF7362"/>
    <w:rsid w:val="00FF73E3"/>
    <w:rsid w:val="00FF782D"/>
    <w:rsid w:val="00FF7893"/>
    <w:rsid w:val="00FF7A30"/>
    <w:rsid w:val="00FF7BA1"/>
    <w:rsid w:val="00FF7CEE"/>
    <w:rsid w:val="00FF7D22"/>
    <w:rsid w:val="010073B4"/>
    <w:rsid w:val="01041CD0"/>
    <w:rsid w:val="010804A9"/>
    <w:rsid w:val="010D1BDD"/>
    <w:rsid w:val="01115C89"/>
    <w:rsid w:val="0114531A"/>
    <w:rsid w:val="01233DFE"/>
    <w:rsid w:val="01237DE4"/>
    <w:rsid w:val="012957CB"/>
    <w:rsid w:val="012E3D59"/>
    <w:rsid w:val="012E78A0"/>
    <w:rsid w:val="013339E8"/>
    <w:rsid w:val="013340AD"/>
    <w:rsid w:val="01384A19"/>
    <w:rsid w:val="013A5D59"/>
    <w:rsid w:val="013C501C"/>
    <w:rsid w:val="013D4FA6"/>
    <w:rsid w:val="01411326"/>
    <w:rsid w:val="01464F0E"/>
    <w:rsid w:val="015602B3"/>
    <w:rsid w:val="01590814"/>
    <w:rsid w:val="01592BEE"/>
    <w:rsid w:val="015D1800"/>
    <w:rsid w:val="01657634"/>
    <w:rsid w:val="01697CD6"/>
    <w:rsid w:val="016B6DD7"/>
    <w:rsid w:val="01701670"/>
    <w:rsid w:val="0171562A"/>
    <w:rsid w:val="01742CDF"/>
    <w:rsid w:val="017729EB"/>
    <w:rsid w:val="0179061D"/>
    <w:rsid w:val="01795231"/>
    <w:rsid w:val="017B5EC6"/>
    <w:rsid w:val="017F6731"/>
    <w:rsid w:val="018A4DA5"/>
    <w:rsid w:val="018A7357"/>
    <w:rsid w:val="019A1560"/>
    <w:rsid w:val="019B60BC"/>
    <w:rsid w:val="019D11D6"/>
    <w:rsid w:val="01A02104"/>
    <w:rsid w:val="01A761C0"/>
    <w:rsid w:val="01A96AA0"/>
    <w:rsid w:val="01B60118"/>
    <w:rsid w:val="01B91B37"/>
    <w:rsid w:val="01BD683B"/>
    <w:rsid w:val="01C41828"/>
    <w:rsid w:val="01C87EC5"/>
    <w:rsid w:val="01C96560"/>
    <w:rsid w:val="01C97249"/>
    <w:rsid w:val="01CE7700"/>
    <w:rsid w:val="01D125C6"/>
    <w:rsid w:val="01D775BA"/>
    <w:rsid w:val="01D91D17"/>
    <w:rsid w:val="01DC460D"/>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5D139A"/>
    <w:rsid w:val="02606278"/>
    <w:rsid w:val="0266047F"/>
    <w:rsid w:val="026B01DE"/>
    <w:rsid w:val="026B4AEA"/>
    <w:rsid w:val="026D6DEF"/>
    <w:rsid w:val="02746FAE"/>
    <w:rsid w:val="027E61C3"/>
    <w:rsid w:val="02816D9C"/>
    <w:rsid w:val="02875AD4"/>
    <w:rsid w:val="028E5CAB"/>
    <w:rsid w:val="028F4EA5"/>
    <w:rsid w:val="02A36F66"/>
    <w:rsid w:val="02A91846"/>
    <w:rsid w:val="02AA0975"/>
    <w:rsid w:val="02B2472A"/>
    <w:rsid w:val="02B27162"/>
    <w:rsid w:val="02B634E2"/>
    <w:rsid w:val="02B96FAC"/>
    <w:rsid w:val="02BA5B1F"/>
    <w:rsid w:val="02BF2C84"/>
    <w:rsid w:val="02BF55FF"/>
    <w:rsid w:val="02BF6AE2"/>
    <w:rsid w:val="02C11E3B"/>
    <w:rsid w:val="02C81E79"/>
    <w:rsid w:val="02D0642C"/>
    <w:rsid w:val="02D127EF"/>
    <w:rsid w:val="02D47EB6"/>
    <w:rsid w:val="02E14FCB"/>
    <w:rsid w:val="02E5740B"/>
    <w:rsid w:val="02EB1E5D"/>
    <w:rsid w:val="02EC1A08"/>
    <w:rsid w:val="02EF5A5A"/>
    <w:rsid w:val="02F16096"/>
    <w:rsid w:val="02F9123A"/>
    <w:rsid w:val="02FE7D30"/>
    <w:rsid w:val="0304634C"/>
    <w:rsid w:val="0307267F"/>
    <w:rsid w:val="030916A6"/>
    <w:rsid w:val="030B5378"/>
    <w:rsid w:val="030D3E9D"/>
    <w:rsid w:val="030D51A2"/>
    <w:rsid w:val="0312447D"/>
    <w:rsid w:val="031A545F"/>
    <w:rsid w:val="031F008D"/>
    <w:rsid w:val="032A509F"/>
    <w:rsid w:val="03327E4E"/>
    <w:rsid w:val="03334938"/>
    <w:rsid w:val="0333596C"/>
    <w:rsid w:val="03375E7B"/>
    <w:rsid w:val="033912FE"/>
    <w:rsid w:val="03394321"/>
    <w:rsid w:val="03406AD4"/>
    <w:rsid w:val="034410CA"/>
    <w:rsid w:val="034938C7"/>
    <w:rsid w:val="034E4F0F"/>
    <w:rsid w:val="034F290D"/>
    <w:rsid w:val="03513AB2"/>
    <w:rsid w:val="035279F8"/>
    <w:rsid w:val="03535FAB"/>
    <w:rsid w:val="035A6727"/>
    <w:rsid w:val="0360437B"/>
    <w:rsid w:val="037C715A"/>
    <w:rsid w:val="03826E5C"/>
    <w:rsid w:val="03892991"/>
    <w:rsid w:val="038C02EB"/>
    <w:rsid w:val="038C6EF9"/>
    <w:rsid w:val="038E2E18"/>
    <w:rsid w:val="038F1DC9"/>
    <w:rsid w:val="03944A19"/>
    <w:rsid w:val="039545AE"/>
    <w:rsid w:val="03995C8A"/>
    <w:rsid w:val="03A4198E"/>
    <w:rsid w:val="03AD0569"/>
    <w:rsid w:val="03AF5D06"/>
    <w:rsid w:val="03B84733"/>
    <w:rsid w:val="03BA4249"/>
    <w:rsid w:val="03C74561"/>
    <w:rsid w:val="03CE5373"/>
    <w:rsid w:val="03D11A1D"/>
    <w:rsid w:val="03D61EA0"/>
    <w:rsid w:val="03D974C6"/>
    <w:rsid w:val="03DC24B8"/>
    <w:rsid w:val="03E54BD6"/>
    <w:rsid w:val="03E73A64"/>
    <w:rsid w:val="03E82126"/>
    <w:rsid w:val="03F63AEF"/>
    <w:rsid w:val="040123FD"/>
    <w:rsid w:val="040562E0"/>
    <w:rsid w:val="040B23D6"/>
    <w:rsid w:val="041203F0"/>
    <w:rsid w:val="04132C1A"/>
    <w:rsid w:val="0416592D"/>
    <w:rsid w:val="0417289A"/>
    <w:rsid w:val="04181433"/>
    <w:rsid w:val="04291C59"/>
    <w:rsid w:val="042A2F90"/>
    <w:rsid w:val="042A3EB0"/>
    <w:rsid w:val="04317277"/>
    <w:rsid w:val="043226E3"/>
    <w:rsid w:val="04377E4A"/>
    <w:rsid w:val="043E57C9"/>
    <w:rsid w:val="044415A9"/>
    <w:rsid w:val="0445405A"/>
    <w:rsid w:val="04467923"/>
    <w:rsid w:val="044A1114"/>
    <w:rsid w:val="044C008C"/>
    <w:rsid w:val="04552E83"/>
    <w:rsid w:val="045619E7"/>
    <w:rsid w:val="0456648E"/>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A5528"/>
    <w:rsid w:val="049B0E6A"/>
    <w:rsid w:val="049F0633"/>
    <w:rsid w:val="04A45AE7"/>
    <w:rsid w:val="04A723B6"/>
    <w:rsid w:val="04A86E14"/>
    <w:rsid w:val="04AB4FEC"/>
    <w:rsid w:val="04AD4B8B"/>
    <w:rsid w:val="04B203EC"/>
    <w:rsid w:val="04B4420E"/>
    <w:rsid w:val="04B70BE9"/>
    <w:rsid w:val="04BE27CE"/>
    <w:rsid w:val="04BE58D0"/>
    <w:rsid w:val="04BF64DB"/>
    <w:rsid w:val="04C41414"/>
    <w:rsid w:val="04C8060F"/>
    <w:rsid w:val="04CB390F"/>
    <w:rsid w:val="04D00F77"/>
    <w:rsid w:val="04D27C15"/>
    <w:rsid w:val="04D459FA"/>
    <w:rsid w:val="04D65189"/>
    <w:rsid w:val="04DA2096"/>
    <w:rsid w:val="04DF660E"/>
    <w:rsid w:val="04E211D4"/>
    <w:rsid w:val="04EC7074"/>
    <w:rsid w:val="04F01589"/>
    <w:rsid w:val="04F4171E"/>
    <w:rsid w:val="04F6701A"/>
    <w:rsid w:val="04F8221A"/>
    <w:rsid w:val="04FC5709"/>
    <w:rsid w:val="050035D1"/>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6E2F83"/>
    <w:rsid w:val="05713D4A"/>
    <w:rsid w:val="05771353"/>
    <w:rsid w:val="057918B2"/>
    <w:rsid w:val="057E0FD7"/>
    <w:rsid w:val="058400FB"/>
    <w:rsid w:val="058D1883"/>
    <w:rsid w:val="058E331A"/>
    <w:rsid w:val="05941672"/>
    <w:rsid w:val="059B236F"/>
    <w:rsid w:val="059B32A7"/>
    <w:rsid w:val="059E3691"/>
    <w:rsid w:val="059F5D9C"/>
    <w:rsid w:val="059F66E7"/>
    <w:rsid w:val="05A558D5"/>
    <w:rsid w:val="05A94C73"/>
    <w:rsid w:val="05B03226"/>
    <w:rsid w:val="05B35812"/>
    <w:rsid w:val="05B86725"/>
    <w:rsid w:val="05BB4C6D"/>
    <w:rsid w:val="05BE5A15"/>
    <w:rsid w:val="05C12962"/>
    <w:rsid w:val="05C23CE5"/>
    <w:rsid w:val="05C30024"/>
    <w:rsid w:val="05C31A0E"/>
    <w:rsid w:val="05CC6A7E"/>
    <w:rsid w:val="05CF32AE"/>
    <w:rsid w:val="05CF3D91"/>
    <w:rsid w:val="05D75F40"/>
    <w:rsid w:val="05E02D26"/>
    <w:rsid w:val="05E31D83"/>
    <w:rsid w:val="05E6321E"/>
    <w:rsid w:val="05E80906"/>
    <w:rsid w:val="05F04C76"/>
    <w:rsid w:val="05F10131"/>
    <w:rsid w:val="05F23FCE"/>
    <w:rsid w:val="06053D67"/>
    <w:rsid w:val="060A57DB"/>
    <w:rsid w:val="060B74B5"/>
    <w:rsid w:val="060C3CC2"/>
    <w:rsid w:val="06143280"/>
    <w:rsid w:val="06161D00"/>
    <w:rsid w:val="06193A58"/>
    <w:rsid w:val="061A75BB"/>
    <w:rsid w:val="061B43B8"/>
    <w:rsid w:val="061D5F4C"/>
    <w:rsid w:val="061E4D14"/>
    <w:rsid w:val="06226AA3"/>
    <w:rsid w:val="062B7408"/>
    <w:rsid w:val="062C1EC6"/>
    <w:rsid w:val="062D57CC"/>
    <w:rsid w:val="06357C71"/>
    <w:rsid w:val="06372BD3"/>
    <w:rsid w:val="06373C35"/>
    <w:rsid w:val="063E7244"/>
    <w:rsid w:val="06417F17"/>
    <w:rsid w:val="06423400"/>
    <w:rsid w:val="064D07B4"/>
    <w:rsid w:val="06556880"/>
    <w:rsid w:val="06594ACC"/>
    <w:rsid w:val="065D0646"/>
    <w:rsid w:val="065E23F5"/>
    <w:rsid w:val="065E61A2"/>
    <w:rsid w:val="065F0CB5"/>
    <w:rsid w:val="06655FAF"/>
    <w:rsid w:val="067E49F6"/>
    <w:rsid w:val="06817DA6"/>
    <w:rsid w:val="06870355"/>
    <w:rsid w:val="068F2552"/>
    <w:rsid w:val="06920AD8"/>
    <w:rsid w:val="06973A22"/>
    <w:rsid w:val="0699682E"/>
    <w:rsid w:val="069A134E"/>
    <w:rsid w:val="06A12BB8"/>
    <w:rsid w:val="06A52641"/>
    <w:rsid w:val="06A6721A"/>
    <w:rsid w:val="06AF2646"/>
    <w:rsid w:val="06B277C2"/>
    <w:rsid w:val="06B5559D"/>
    <w:rsid w:val="06B60D8F"/>
    <w:rsid w:val="06C34766"/>
    <w:rsid w:val="06C648B1"/>
    <w:rsid w:val="06CF35BD"/>
    <w:rsid w:val="06D42797"/>
    <w:rsid w:val="06D51C0F"/>
    <w:rsid w:val="06DA7F47"/>
    <w:rsid w:val="06E4414A"/>
    <w:rsid w:val="06E73B57"/>
    <w:rsid w:val="06E84D75"/>
    <w:rsid w:val="06E975ED"/>
    <w:rsid w:val="06EB2F6E"/>
    <w:rsid w:val="06F01D0C"/>
    <w:rsid w:val="06F0680F"/>
    <w:rsid w:val="06F435BD"/>
    <w:rsid w:val="06F55AAE"/>
    <w:rsid w:val="06F561CE"/>
    <w:rsid w:val="06FD7630"/>
    <w:rsid w:val="070906C4"/>
    <w:rsid w:val="07114B7A"/>
    <w:rsid w:val="071278E7"/>
    <w:rsid w:val="07186D56"/>
    <w:rsid w:val="07192D2A"/>
    <w:rsid w:val="072033BE"/>
    <w:rsid w:val="0721733B"/>
    <w:rsid w:val="07251E9C"/>
    <w:rsid w:val="07263238"/>
    <w:rsid w:val="072B2FCC"/>
    <w:rsid w:val="07335A3D"/>
    <w:rsid w:val="0737326C"/>
    <w:rsid w:val="073778E7"/>
    <w:rsid w:val="073B6E32"/>
    <w:rsid w:val="073E1AAF"/>
    <w:rsid w:val="075453F9"/>
    <w:rsid w:val="07574884"/>
    <w:rsid w:val="075B498A"/>
    <w:rsid w:val="0764669C"/>
    <w:rsid w:val="07654F7A"/>
    <w:rsid w:val="07662B3F"/>
    <w:rsid w:val="076816D4"/>
    <w:rsid w:val="07767F1E"/>
    <w:rsid w:val="07781143"/>
    <w:rsid w:val="077B726A"/>
    <w:rsid w:val="077E3FD9"/>
    <w:rsid w:val="078949F9"/>
    <w:rsid w:val="07916334"/>
    <w:rsid w:val="07940742"/>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711B6"/>
    <w:rsid w:val="07C74002"/>
    <w:rsid w:val="07C864F2"/>
    <w:rsid w:val="07C87270"/>
    <w:rsid w:val="07C92F3E"/>
    <w:rsid w:val="07CA7470"/>
    <w:rsid w:val="07CB03FB"/>
    <w:rsid w:val="07D05F75"/>
    <w:rsid w:val="07D17AEF"/>
    <w:rsid w:val="07D24E2A"/>
    <w:rsid w:val="07D36112"/>
    <w:rsid w:val="07D364CA"/>
    <w:rsid w:val="07D47799"/>
    <w:rsid w:val="07D9133A"/>
    <w:rsid w:val="07DB7CB4"/>
    <w:rsid w:val="07E80F0B"/>
    <w:rsid w:val="07E85037"/>
    <w:rsid w:val="07E9446A"/>
    <w:rsid w:val="07EA3399"/>
    <w:rsid w:val="07EC19F5"/>
    <w:rsid w:val="07ED2D7D"/>
    <w:rsid w:val="07EF7092"/>
    <w:rsid w:val="07F06E95"/>
    <w:rsid w:val="07F62E9A"/>
    <w:rsid w:val="08055E44"/>
    <w:rsid w:val="0806764C"/>
    <w:rsid w:val="08085317"/>
    <w:rsid w:val="080E7972"/>
    <w:rsid w:val="080F1B16"/>
    <w:rsid w:val="080F380C"/>
    <w:rsid w:val="08100036"/>
    <w:rsid w:val="0811235A"/>
    <w:rsid w:val="08154241"/>
    <w:rsid w:val="0817007D"/>
    <w:rsid w:val="081A218A"/>
    <w:rsid w:val="081B5CC0"/>
    <w:rsid w:val="081E4875"/>
    <w:rsid w:val="08222CC0"/>
    <w:rsid w:val="08225938"/>
    <w:rsid w:val="082325E8"/>
    <w:rsid w:val="08284F7F"/>
    <w:rsid w:val="08344B4D"/>
    <w:rsid w:val="083B4289"/>
    <w:rsid w:val="083C682C"/>
    <w:rsid w:val="08416468"/>
    <w:rsid w:val="084518E0"/>
    <w:rsid w:val="08456538"/>
    <w:rsid w:val="084D265F"/>
    <w:rsid w:val="08533FDF"/>
    <w:rsid w:val="08555FE4"/>
    <w:rsid w:val="08594EDF"/>
    <w:rsid w:val="085B296F"/>
    <w:rsid w:val="08625F26"/>
    <w:rsid w:val="08655CD7"/>
    <w:rsid w:val="086B2DB5"/>
    <w:rsid w:val="086B5DA6"/>
    <w:rsid w:val="086C2511"/>
    <w:rsid w:val="08754A81"/>
    <w:rsid w:val="087B70D7"/>
    <w:rsid w:val="087B7B82"/>
    <w:rsid w:val="08820F99"/>
    <w:rsid w:val="088376E1"/>
    <w:rsid w:val="088722D5"/>
    <w:rsid w:val="089055A6"/>
    <w:rsid w:val="08980BAB"/>
    <w:rsid w:val="08A44F08"/>
    <w:rsid w:val="08A92676"/>
    <w:rsid w:val="08AA5BF5"/>
    <w:rsid w:val="08AB6847"/>
    <w:rsid w:val="08B14555"/>
    <w:rsid w:val="08C24EFE"/>
    <w:rsid w:val="08C8577F"/>
    <w:rsid w:val="08C97AC5"/>
    <w:rsid w:val="08D52288"/>
    <w:rsid w:val="08D924A9"/>
    <w:rsid w:val="08DA3FA8"/>
    <w:rsid w:val="08DF5637"/>
    <w:rsid w:val="08E86EA7"/>
    <w:rsid w:val="08E927DA"/>
    <w:rsid w:val="08EA46C9"/>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22FA"/>
    <w:rsid w:val="09493002"/>
    <w:rsid w:val="094C661F"/>
    <w:rsid w:val="094E0A67"/>
    <w:rsid w:val="09597734"/>
    <w:rsid w:val="09616348"/>
    <w:rsid w:val="096C4215"/>
    <w:rsid w:val="096E4B93"/>
    <w:rsid w:val="096E4D5C"/>
    <w:rsid w:val="0978669A"/>
    <w:rsid w:val="097E3F6C"/>
    <w:rsid w:val="098147F0"/>
    <w:rsid w:val="098A3FEF"/>
    <w:rsid w:val="098F49D9"/>
    <w:rsid w:val="09A211FD"/>
    <w:rsid w:val="09A22CB0"/>
    <w:rsid w:val="09A33D5F"/>
    <w:rsid w:val="09B17802"/>
    <w:rsid w:val="09B64FB7"/>
    <w:rsid w:val="09BE27FD"/>
    <w:rsid w:val="09C208A7"/>
    <w:rsid w:val="09D867C7"/>
    <w:rsid w:val="09DA2E15"/>
    <w:rsid w:val="09DC6D7F"/>
    <w:rsid w:val="09E0589C"/>
    <w:rsid w:val="09EA2D1D"/>
    <w:rsid w:val="09EB7ACF"/>
    <w:rsid w:val="09F019FA"/>
    <w:rsid w:val="09F27747"/>
    <w:rsid w:val="09F54E7B"/>
    <w:rsid w:val="09F843AA"/>
    <w:rsid w:val="09FC238F"/>
    <w:rsid w:val="09FF4E1C"/>
    <w:rsid w:val="0A03095D"/>
    <w:rsid w:val="0A0310A5"/>
    <w:rsid w:val="0A031353"/>
    <w:rsid w:val="0A090E68"/>
    <w:rsid w:val="0A0946E5"/>
    <w:rsid w:val="0A0F1C7A"/>
    <w:rsid w:val="0A0F75F4"/>
    <w:rsid w:val="0A1462E4"/>
    <w:rsid w:val="0A1737AA"/>
    <w:rsid w:val="0A177C90"/>
    <w:rsid w:val="0A1D71DC"/>
    <w:rsid w:val="0A265C5E"/>
    <w:rsid w:val="0A3A062B"/>
    <w:rsid w:val="0A3C576A"/>
    <w:rsid w:val="0A3F2D2D"/>
    <w:rsid w:val="0A47596A"/>
    <w:rsid w:val="0A4F006D"/>
    <w:rsid w:val="0A534E7E"/>
    <w:rsid w:val="0A545C1F"/>
    <w:rsid w:val="0A663A61"/>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9C2DBF"/>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0E3AD4"/>
    <w:rsid w:val="0B176325"/>
    <w:rsid w:val="0B1A291A"/>
    <w:rsid w:val="0B233E70"/>
    <w:rsid w:val="0B254CAA"/>
    <w:rsid w:val="0B28501B"/>
    <w:rsid w:val="0B2E0454"/>
    <w:rsid w:val="0B311E8B"/>
    <w:rsid w:val="0B316748"/>
    <w:rsid w:val="0B3440C0"/>
    <w:rsid w:val="0B361B74"/>
    <w:rsid w:val="0B3B65E0"/>
    <w:rsid w:val="0B3C005F"/>
    <w:rsid w:val="0B5527AB"/>
    <w:rsid w:val="0B594D3B"/>
    <w:rsid w:val="0B65171B"/>
    <w:rsid w:val="0B6B272A"/>
    <w:rsid w:val="0B6C1381"/>
    <w:rsid w:val="0B6D1F77"/>
    <w:rsid w:val="0B723D3E"/>
    <w:rsid w:val="0B75278F"/>
    <w:rsid w:val="0B7957E9"/>
    <w:rsid w:val="0B7A50DB"/>
    <w:rsid w:val="0B7E624E"/>
    <w:rsid w:val="0B831B71"/>
    <w:rsid w:val="0B8A6A06"/>
    <w:rsid w:val="0B8B24DC"/>
    <w:rsid w:val="0B8B3A3B"/>
    <w:rsid w:val="0B91759B"/>
    <w:rsid w:val="0B9E3C42"/>
    <w:rsid w:val="0BA10CEF"/>
    <w:rsid w:val="0BA158F6"/>
    <w:rsid w:val="0BA37183"/>
    <w:rsid w:val="0BA4716A"/>
    <w:rsid w:val="0BA82B04"/>
    <w:rsid w:val="0BA83D83"/>
    <w:rsid w:val="0BAA4E39"/>
    <w:rsid w:val="0BAC469F"/>
    <w:rsid w:val="0BB2312B"/>
    <w:rsid w:val="0BB95B1E"/>
    <w:rsid w:val="0BBA5AE1"/>
    <w:rsid w:val="0BBC6C1A"/>
    <w:rsid w:val="0BC20CC4"/>
    <w:rsid w:val="0BC26E21"/>
    <w:rsid w:val="0BC83BB1"/>
    <w:rsid w:val="0BCB25EE"/>
    <w:rsid w:val="0BCB744C"/>
    <w:rsid w:val="0BCB7DEA"/>
    <w:rsid w:val="0BCE580E"/>
    <w:rsid w:val="0BD02FF5"/>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1778"/>
    <w:rsid w:val="0C293F71"/>
    <w:rsid w:val="0C2D5B45"/>
    <w:rsid w:val="0C407935"/>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93580"/>
    <w:rsid w:val="0C9A5993"/>
    <w:rsid w:val="0CA763A8"/>
    <w:rsid w:val="0CB64B38"/>
    <w:rsid w:val="0CBC520A"/>
    <w:rsid w:val="0CBF3DD1"/>
    <w:rsid w:val="0CC3536E"/>
    <w:rsid w:val="0CD21CB7"/>
    <w:rsid w:val="0CD24D26"/>
    <w:rsid w:val="0CDB3A09"/>
    <w:rsid w:val="0CE532AB"/>
    <w:rsid w:val="0CE95B0D"/>
    <w:rsid w:val="0CFA0E47"/>
    <w:rsid w:val="0D085FF5"/>
    <w:rsid w:val="0D0A3F56"/>
    <w:rsid w:val="0D0F458A"/>
    <w:rsid w:val="0D16647B"/>
    <w:rsid w:val="0D1969DD"/>
    <w:rsid w:val="0D1C4C53"/>
    <w:rsid w:val="0D1C6607"/>
    <w:rsid w:val="0D1D4C1E"/>
    <w:rsid w:val="0D225593"/>
    <w:rsid w:val="0D2475E0"/>
    <w:rsid w:val="0D26648B"/>
    <w:rsid w:val="0D2801DA"/>
    <w:rsid w:val="0D294325"/>
    <w:rsid w:val="0D297DF3"/>
    <w:rsid w:val="0D327924"/>
    <w:rsid w:val="0D385411"/>
    <w:rsid w:val="0D5235A5"/>
    <w:rsid w:val="0D5D1B45"/>
    <w:rsid w:val="0D611FC1"/>
    <w:rsid w:val="0D6151A4"/>
    <w:rsid w:val="0D6712AB"/>
    <w:rsid w:val="0D6924B4"/>
    <w:rsid w:val="0D6B7B3E"/>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3D740A"/>
    <w:rsid w:val="0E401365"/>
    <w:rsid w:val="0E4977D8"/>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85C87"/>
    <w:rsid w:val="0EAA73B4"/>
    <w:rsid w:val="0EB0377A"/>
    <w:rsid w:val="0EB043E6"/>
    <w:rsid w:val="0EB0495D"/>
    <w:rsid w:val="0EB14E1C"/>
    <w:rsid w:val="0EB21A5E"/>
    <w:rsid w:val="0EB255FF"/>
    <w:rsid w:val="0EB66E2D"/>
    <w:rsid w:val="0EBC12A1"/>
    <w:rsid w:val="0EC21AFD"/>
    <w:rsid w:val="0EC34586"/>
    <w:rsid w:val="0ECC276B"/>
    <w:rsid w:val="0ED20EA8"/>
    <w:rsid w:val="0ED32F6C"/>
    <w:rsid w:val="0ED7249D"/>
    <w:rsid w:val="0ED84546"/>
    <w:rsid w:val="0EE0087F"/>
    <w:rsid w:val="0EE52F02"/>
    <w:rsid w:val="0EE61E0B"/>
    <w:rsid w:val="0EEA7506"/>
    <w:rsid w:val="0EEB2121"/>
    <w:rsid w:val="0EEC6E27"/>
    <w:rsid w:val="0EF35CBD"/>
    <w:rsid w:val="0EFD2CC2"/>
    <w:rsid w:val="0F0555EE"/>
    <w:rsid w:val="0F0A399D"/>
    <w:rsid w:val="0F0B1157"/>
    <w:rsid w:val="0F0C554D"/>
    <w:rsid w:val="0F0E287E"/>
    <w:rsid w:val="0F122314"/>
    <w:rsid w:val="0F191690"/>
    <w:rsid w:val="0F2566D6"/>
    <w:rsid w:val="0F334F38"/>
    <w:rsid w:val="0F374D10"/>
    <w:rsid w:val="0F390E3D"/>
    <w:rsid w:val="0F3B729A"/>
    <w:rsid w:val="0F447483"/>
    <w:rsid w:val="0F477871"/>
    <w:rsid w:val="0F477973"/>
    <w:rsid w:val="0F4B3454"/>
    <w:rsid w:val="0F521E2E"/>
    <w:rsid w:val="0F5313BA"/>
    <w:rsid w:val="0F5446B1"/>
    <w:rsid w:val="0F566F25"/>
    <w:rsid w:val="0F5801E9"/>
    <w:rsid w:val="0F5C4C71"/>
    <w:rsid w:val="0F5E7046"/>
    <w:rsid w:val="0F675A2D"/>
    <w:rsid w:val="0F8116C6"/>
    <w:rsid w:val="0F8C091A"/>
    <w:rsid w:val="0F927670"/>
    <w:rsid w:val="0F977AA3"/>
    <w:rsid w:val="0F9D2A7E"/>
    <w:rsid w:val="0F9D727A"/>
    <w:rsid w:val="0FA54926"/>
    <w:rsid w:val="0FA560D5"/>
    <w:rsid w:val="0FB47B8F"/>
    <w:rsid w:val="0FB56394"/>
    <w:rsid w:val="0FBB23ED"/>
    <w:rsid w:val="0FC11A21"/>
    <w:rsid w:val="0FC37510"/>
    <w:rsid w:val="0FC407AB"/>
    <w:rsid w:val="0FC55DD4"/>
    <w:rsid w:val="0FC757C6"/>
    <w:rsid w:val="0FCB5A7E"/>
    <w:rsid w:val="0FCB5DA8"/>
    <w:rsid w:val="0FCF6F78"/>
    <w:rsid w:val="0FD00354"/>
    <w:rsid w:val="0FD20A54"/>
    <w:rsid w:val="0FDD64B4"/>
    <w:rsid w:val="0FDD781A"/>
    <w:rsid w:val="0FDF2015"/>
    <w:rsid w:val="0FE132CD"/>
    <w:rsid w:val="0FEA2108"/>
    <w:rsid w:val="0FEC32E3"/>
    <w:rsid w:val="0FEE5F63"/>
    <w:rsid w:val="0FF14326"/>
    <w:rsid w:val="0FF53632"/>
    <w:rsid w:val="0FF61261"/>
    <w:rsid w:val="0FF7251B"/>
    <w:rsid w:val="0FF864B2"/>
    <w:rsid w:val="1002491E"/>
    <w:rsid w:val="100318D3"/>
    <w:rsid w:val="10074C2D"/>
    <w:rsid w:val="10080D3C"/>
    <w:rsid w:val="100D77C9"/>
    <w:rsid w:val="100F5ECF"/>
    <w:rsid w:val="10123E88"/>
    <w:rsid w:val="10171D38"/>
    <w:rsid w:val="10173B20"/>
    <w:rsid w:val="101B4B2B"/>
    <w:rsid w:val="101F001F"/>
    <w:rsid w:val="10205E6C"/>
    <w:rsid w:val="10214450"/>
    <w:rsid w:val="102C7B17"/>
    <w:rsid w:val="103F7BBC"/>
    <w:rsid w:val="1046747A"/>
    <w:rsid w:val="104F503B"/>
    <w:rsid w:val="106104D8"/>
    <w:rsid w:val="10614B4D"/>
    <w:rsid w:val="106807AB"/>
    <w:rsid w:val="10697106"/>
    <w:rsid w:val="106B777A"/>
    <w:rsid w:val="106D07A5"/>
    <w:rsid w:val="1070251A"/>
    <w:rsid w:val="10760674"/>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CA0927"/>
    <w:rsid w:val="10CF45B5"/>
    <w:rsid w:val="10D17447"/>
    <w:rsid w:val="10D17BA0"/>
    <w:rsid w:val="10D5728F"/>
    <w:rsid w:val="10E154F7"/>
    <w:rsid w:val="10E25191"/>
    <w:rsid w:val="10E6673F"/>
    <w:rsid w:val="10E80D8D"/>
    <w:rsid w:val="10ED79A2"/>
    <w:rsid w:val="10EE5DD1"/>
    <w:rsid w:val="10EF19E4"/>
    <w:rsid w:val="10EF5F16"/>
    <w:rsid w:val="10EF7355"/>
    <w:rsid w:val="10F046AC"/>
    <w:rsid w:val="10F37B3C"/>
    <w:rsid w:val="11032AF5"/>
    <w:rsid w:val="11056310"/>
    <w:rsid w:val="11066827"/>
    <w:rsid w:val="110F316C"/>
    <w:rsid w:val="1112714C"/>
    <w:rsid w:val="11130EB6"/>
    <w:rsid w:val="111632EB"/>
    <w:rsid w:val="11174D87"/>
    <w:rsid w:val="11181A69"/>
    <w:rsid w:val="111A6A63"/>
    <w:rsid w:val="111E4F01"/>
    <w:rsid w:val="1121026D"/>
    <w:rsid w:val="11254494"/>
    <w:rsid w:val="11262D96"/>
    <w:rsid w:val="11347954"/>
    <w:rsid w:val="113B4AF5"/>
    <w:rsid w:val="113D45ED"/>
    <w:rsid w:val="11463C69"/>
    <w:rsid w:val="114B2327"/>
    <w:rsid w:val="11501B50"/>
    <w:rsid w:val="11537076"/>
    <w:rsid w:val="115759CE"/>
    <w:rsid w:val="115808BE"/>
    <w:rsid w:val="115E5C78"/>
    <w:rsid w:val="1161026A"/>
    <w:rsid w:val="11621410"/>
    <w:rsid w:val="11686319"/>
    <w:rsid w:val="116A024B"/>
    <w:rsid w:val="116A3787"/>
    <w:rsid w:val="11720AC2"/>
    <w:rsid w:val="1172122A"/>
    <w:rsid w:val="11732778"/>
    <w:rsid w:val="1173603F"/>
    <w:rsid w:val="117525C4"/>
    <w:rsid w:val="11767657"/>
    <w:rsid w:val="11781DFA"/>
    <w:rsid w:val="11807847"/>
    <w:rsid w:val="118457F6"/>
    <w:rsid w:val="118828CF"/>
    <w:rsid w:val="118B7CC4"/>
    <w:rsid w:val="118C46DA"/>
    <w:rsid w:val="11997C59"/>
    <w:rsid w:val="119C29A2"/>
    <w:rsid w:val="119D62CE"/>
    <w:rsid w:val="119E62B1"/>
    <w:rsid w:val="11A36C23"/>
    <w:rsid w:val="11AC1DF6"/>
    <w:rsid w:val="11AC79D2"/>
    <w:rsid w:val="11AF7D17"/>
    <w:rsid w:val="11B7574C"/>
    <w:rsid w:val="11BA75D3"/>
    <w:rsid w:val="11C16227"/>
    <w:rsid w:val="11C350F3"/>
    <w:rsid w:val="11C50404"/>
    <w:rsid w:val="11C5334A"/>
    <w:rsid w:val="11C8195E"/>
    <w:rsid w:val="11C83FF7"/>
    <w:rsid w:val="11C93722"/>
    <w:rsid w:val="11CA0DD9"/>
    <w:rsid w:val="11CF5D72"/>
    <w:rsid w:val="11D617CC"/>
    <w:rsid w:val="11D76D15"/>
    <w:rsid w:val="11D8124F"/>
    <w:rsid w:val="11DB5F26"/>
    <w:rsid w:val="11DE005C"/>
    <w:rsid w:val="11DE3EEA"/>
    <w:rsid w:val="11DF104E"/>
    <w:rsid w:val="11E302B8"/>
    <w:rsid w:val="11EA0BC8"/>
    <w:rsid w:val="11F15A65"/>
    <w:rsid w:val="11F9390A"/>
    <w:rsid w:val="1201290E"/>
    <w:rsid w:val="120472A4"/>
    <w:rsid w:val="12053DDA"/>
    <w:rsid w:val="12094E47"/>
    <w:rsid w:val="120A16E2"/>
    <w:rsid w:val="120C12AA"/>
    <w:rsid w:val="1212107A"/>
    <w:rsid w:val="12130EED"/>
    <w:rsid w:val="121656B2"/>
    <w:rsid w:val="1221024E"/>
    <w:rsid w:val="12254B65"/>
    <w:rsid w:val="12263966"/>
    <w:rsid w:val="122D5A1D"/>
    <w:rsid w:val="122F0692"/>
    <w:rsid w:val="12313C11"/>
    <w:rsid w:val="12325D1D"/>
    <w:rsid w:val="1232730A"/>
    <w:rsid w:val="123867FA"/>
    <w:rsid w:val="123873C1"/>
    <w:rsid w:val="12414577"/>
    <w:rsid w:val="12443E59"/>
    <w:rsid w:val="12455CAD"/>
    <w:rsid w:val="124708F9"/>
    <w:rsid w:val="12497908"/>
    <w:rsid w:val="124A1FFD"/>
    <w:rsid w:val="124F6F62"/>
    <w:rsid w:val="12540DA1"/>
    <w:rsid w:val="125B084E"/>
    <w:rsid w:val="12766947"/>
    <w:rsid w:val="127E6792"/>
    <w:rsid w:val="127F52A7"/>
    <w:rsid w:val="12821FDA"/>
    <w:rsid w:val="128301BF"/>
    <w:rsid w:val="128303BF"/>
    <w:rsid w:val="12875B7E"/>
    <w:rsid w:val="12990022"/>
    <w:rsid w:val="12990599"/>
    <w:rsid w:val="129C4B1E"/>
    <w:rsid w:val="12A13BDA"/>
    <w:rsid w:val="12A142E5"/>
    <w:rsid w:val="12A8272F"/>
    <w:rsid w:val="12AC6C59"/>
    <w:rsid w:val="12AE2A22"/>
    <w:rsid w:val="12B209E5"/>
    <w:rsid w:val="12B43E24"/>
    <w:rsid w:val="12B5070B"/>
    <w:rsid w:val="12C336A4"/>
    <w:rsid w:val="12C60939"/>
    <w:rsid w:val="12C70E6B"/>
    <w:rsid w:val="12DA12F7"/>
    <w:rsid w:val="12E0156B"/>
    <w:rsid w:val="12F00E7B"/>
    <w:rsid w:val="12F85E8C"/>
    <w:rsid w:val="12F95EB4"/>
    <w:rsid w:val="12FA1A9D"/>
    <w:rsid w:val="13022B2F"/>
    <w:rsid w:val="13076BAF"/>
    <w:rsid w:val="130A6AD2"/>
    <w:rsid w:val="130F1DA9"/>
    <w:rsid w:val="130F44B6"/>
    <w:rsid w:val="13125764"/>
    <w:rsid w:val="131752BC"/>
    <w:rsid w:val="13185A6E"/>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A6930"/>
    <w:rsid w:val="133C10A0"/>
    <w:rsid w:val="13441C6C"/>
    <w:rsid w:val="1348767C"/>
    <w:rsid w:val="1351555F"/>
    <w:rsid w:val="135B7D59"/>
    <w:rsid w:val="135C41A2"/>
    <w:rsid w:val="135D0726"/>
    <w:rsid w:val="13667089"/>
    <w:rsid w:val="137F2E1F"/>
    <w:rsid w:val="13834E54"/>
    <w:rsid w:val="138C3BB4"/>
    <w:rsid w:val="138E21E8"/>
    <w:rsid w:val="13A46633"/>
    <w:rsid w:val="13A53E20"/>
    <w:rsid w:val="13A57CC6"/>
    <w:rsid w:val="13A64D44"/>
    <w:rsid w:val="13A71807"/>
    <w:rsid w:val="13AA36AA"/>
    <w:rsid w:val="13AA72DA"/>
    <w:rsid w:val="13AE4A5F"/>
    <w:rsid w:val="13B4098E"/>
    <w:rsid w:val="13B62320"/>
    <w:rsid w:val="13C673D1"/>
    <w:rsid w:val="13C812E8"/>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65F81"/>
    <w:rsid w:val="14175A82"/>
    <w:rsid w:val="14211FBC"/>
    <w:rsid w:val="1426080A"/>
    <w:rsid w:val="14264E47"/>
    <w:rsid w:val="142E08A1"/>
    <w:rsid w:val="142E28C8"/>
    <w:rsid w:val="143533E9"/>
    <w:rsid w:val="14353A7B"/>
    <w:rsid w:val="14387013"/>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31F03"/>
    <w:rsid w:val="14A5629F"/>
    <w:rsid w:val="14AC1E4E"/>
    <w:rsid w:val="14AC398C"/>
    <w:rsid w:val="14B3042E"/>
    <w:rsid w:val="14BA0B11"/>
    <w:rsid w:val="14C453B3"/>
    <w:rsid w:val="14CE5C48"/>
    <w:rsid w:val="14CF4E4F"/>
    <w:rsid w:val="14D141D7"/>
    <w:rsid w:val="14D5012B"/>
    <w:rsid w:val="14E47191"/>
    <w:rsid w:val="14E9786D"/>
    <w:rsid w:val="14EC3E5C"/>
    <w:rsid w:val="14ED0A8C"/>
    <w:rsid w:val="14F863D5"/>
    <w:rsid w:val="14FA4CD9"/>
    <w:rsid w:val="14FB5F43"/>
    <w:rsid w:val="15100FA6"/>
    <w:rsid w:val="1513479B"/>
    <w:rsid w:val="151A1661"/>
    <w:rsid w:val="15262908"/>
    <w:rsid w:val="1529226A"/>
    <w:rsid w:val="15387A07"/>
    <w:rsid w:val="1539647F"/>
    <w:rsid w:val="153D0A90"/>
    <w:rsid w:val="153D638E"/>
    <w:rsid w:val="154D3BE2"/>
    <w:rsid w:val="15500B81"/>
    <w:rsid w:val="15512718"/>
    <w:rsid w:val="155D4772"/>
    <w:rsid w:val="156103E7"/>
    <w:rsid w:val="15635D03"/>
    <w:rsid w:val="157723EB"/>
    <w:rsid w:val="157876E1"/>
    <w:rsid w:val="15792A24"/>
    <w:rsid w:val="1582792F"/>
    <w:rsid w:val="1587641C"/>
    <w:rsid w:val="158A42AA"/>
    <w:rsid w:val="15903990"/>
    <w:rsid w:val="159A2718"/>
    <w:rsid w:val="159A616F"/>
    <w:rsid w:val="15A16B2A"/>
    <w:rsid w:val="15A36994"/>
    <w:rsid w:val="15A47359"/>
    <w:rsid w:val="15A63099"/>
    <w:rsid w:val="15A83FDF"/>
    <w:rsid w:val="15AC1F1E"/>
    <w:rsid w:val="15B274DC"/>
    <w:rsid w:val="15B449F9"/>
    <w:rsid w:val="15B51F07"/>
    <w:rsid w:val="15B64890"/>
    <w:rsid w:val="15B7100A"/>
    <w:rsid w:val="15BA1EF1"/>
    <w:rsid w:val="15BB7F8A"/>
    <w:rsid w:val="15C532BF"/>
    <w:rsid w:val="15CB56F8"/>
    <w:rsid w:val="15D0130C"/>
    <w:rsid w:val="15D2523F"/>
    <w:rsid w:val="15D2564C"/>
    <w:rsid w:val="15D37C25"/>
    <w:rsid w:val="15D61E56"/>
    <w:rsid w:val="15DC216E"/>
    <w:rsid w:val="15DD4D2E"/>
    <w:rsid w:val="15E577C7"/>
    <w:rsid w:val="15EA10AD"/>
    <w:rsid w:val="15EB18DC"/>
    <w:rsid w:val="15EF4A01"/>
    <w:rsid w:val="15F04781"/>
    <w:rsid w:val="15F80CE0"/>
    <w:rsid w:val="15FF7F39"/>
    <w:rsid w:val="16011DF0"/>
    <w:rsid w:val="160856FA"/>
    <w:rsid w:val="161053FC"/>
    <w:rsid w:val="161409A3"/>
    <w:rsid w:val="161971DA"/>
    <w:rsid w:val="162148B4"/>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43A7E"/>
    <w:rsid w:val="1688409F"/>
    <w:rsid w:val="168A3F5C"/>
    <w:rsid w:val="168B1464"/>
    <w:rsid w:val="168E0B29"/>
    <w:rsid w:val="16972BB3"/>
    <w:rsid w:val="1698607C"/>
    <w:rsid w:val="16A6025D"/>
    <w:rsid w:val="16A9449F"/>
    <w:rsid w:val="16AC6719"/>
    <w:rsid w:val="16AD2E93"/>
    <w:rsid w:val="16AE155D"/>
    <w:rsid w:val="16B60E24"/>
    <w:rsid w:val="16B95052"/>
    <w:rsid w:val="16C0346B"/>
    <w:rsid w:val="16C44A98"/>
    <w:rsid w:val="16C91F5D"/>
    <w:rsid w:val="16CB3473"/>
    <w:rsid w:val="16CC3178"/>
    <w:rsid w:val="16CF015B"/>
    <w:rsid w:val="16CF2ADC"/>
    <w:rsid w:val="16D65268"/>
    <w:rsid w:val="16D845B0"/>
    <w:rsid w:val="16EC2A58"/>
    <w:rsid w:val="16EF5D8C"/>
    <w:rsid w:val="16F06A95"/>
    <w:rsid w:val="16F16CEA"/>
    <w:rsid w:val="16F74E68"/>
    <w:rsid w:val="16FE147F"/>
    <w:rsid w:val="17036CB3"/>
    <w:rsid w:val="17110027"/>
    <w:rsid w:val="17113D5E"/>
    <w:rsid w:val="171476E9"/>
    <w:rsid w:val="171B7E32"/>
    <w:rsid w:val="171E610A"/>
    <w:rsid w:val="17220D8D"/>
    <w:rsid w:val="1722108B"/>
    <w:rsid w:val="17276415"/>
    <w:rsid w:val="172F2D58"/>
    <w:rsid w:val="17351DB9"/>
    <w:rsid w:val="17357F80"/>
    <w:rsid w:val="17393127"/>
    <w:rsid w:val="17423214"/>
    <w:rsid w:val="174903F6"/>
    <w:rsid w:val="174E5530"/>
    <w:rsid w:val="17512C20"/>
    <w:rsid w:val="17644012"/>
    <w:rsid w:val="176572C2"/>
    <w:rsid w:val="17697677"/>
    <w:rsid w:val="17706CD4"/>
    <w:rsid w:val="17732C4B"/>
    <w:rsid w:val="177B12E6"/>
    <w:rsid w:val="17813432"/>
    <w:rsid w:val="17835639"/>
    <w:rsid w:val="178366FE"/>
    <w:rsid w:val="17853817"/>
    <w:rsid w:val="178A3414"/>
    <w:rsid w:val="178D1B35"/>
    <w:rsid w:val="178F5437"/>
    <w:rsid w:val="17945C8C"/>
    <w:rsid w:val="179F07DF"/>
    <w:rsid w:val="17AB38BD"/>
    <w:rsid w:val="17AC66F7"/>
    <w:rsid w:val="17AE6614"/>
    <w:rsid w:val="17B17E3F"/>
    <w:rsid w:val="17B20D61"/>
    <w:rsid w:val="17BC286D"/>
    <w:rsid w:val="17BD1567"/>
    <w:rsid w:val="17BE4E82"/>
    <w:rsid w:val="17C13630"/>
    <w:rsid w:val="17C142EC"/>
    <w:rsid w:val="17C1545E"/>
    <w:rsid w:val="17CF161A"/>
    <w:rsid w:val="17DE3E41"/>
    <w:rsid w:val="17DF6C02"/>
    <w:rsid w:val="17E12765"/>
    <w:rsid w:val="17F118FB"/>
    <w:rsid w:val="17F4364E"/>
    <w:rsid w:val="17F84A98"/>
    <w:rsid w:val="17FC3372"/>
    <w:rsid w:val="17FD3ED2"/>
    <w:rsid w:val="17FE4B96"/>
    <w:rsid w:val="18015BFF"/>
    <w:rsid w:val="18023379"/>
    <w:rsid w:val="180353C5"/>
    <w:rsid w:val="1807600A"/>
    <w:rsid w:val="180C5D46"/>
    <w:rsid w:val="1814736E"/>
    <w:rsid w:val="18155E9A"/>
    <w:rsid w:val="181960F3"/>
    <w:rsid w:val="181A28E1"/>
    <w:rsid w:val="181B563D"/>
    <w:rsid w:val="181E152E"/>
    <w:rsid w:val="18213EE3"/>
    <w:rsid w:val="18252AF9"/>
    <w:rsid w:val="18297B0F"/>
    <w:rsid w:val="182B0B12"/>
    <w:rsid w:val="182E057C"/>
    <w:rsid w:val="182F2D36"/>
    <w:rsid w:val="183C1763"/>
    <w:rsid w:val="184476DA"/>
    <w:rsid w:val="1846532E"/>
    <w:rsid w:val="18540741"/>
    <w:rsid w:val="18587C4F"/>
    <w:rsid w:val="18593E4A"/>
    <w:rsid w:val="185C086E"/>
    <w:rsid w:val="186051A6"/>
    <w:rsid w:val="186515C8"/>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A81274"/>
    <w:rsid w:val="18B542B4"/>
    <w:rsid w:val="18BD53ED"/>
    <w:rsid w:val="18C91B56"/>
    <w:rsid w:val="18C967A6"/>
    <w:rsid w:val="18CC367D"/>
    <w:rsid w:val="18CF54E2"/>
    <w:rsid w:val="18D25EBA"/>
    <w:rsid w:val="18D51E03"/>
    <w:rsid w:val="18DC2029"/>
    <w:rsid w:val="18DC6725"/>
    <w:rsid w:val="18DF183C"/>
    <w:rsid w:val="18DF2E4F"/>
    <w:rsid w:val="18E51EDB"/>
    <w:rsid w:val="18EC1DAC"/>
    <w:rsid w:val="18EC69AA"/>
    <w:rsid w:val="18EE2723"/>
    <w:rsid w:val="18F03C02"/>
    <w:rsid w:val="18F44372"/>
    <w:rsid w:val="18F73D37"/>
    <w:rsid w:val="19022465"/>
    <w:rsid w:val="19087E5A"/>
    <w:rsid w:val="190A5AAB"/>
    <w:rsid w:val="190B365E"/>
    <w:rsid w:val="190B5982"/>
    <w:rsid w:val="190E24A2"/>
    <w:rsid w:val="190F246E"/>
    <w:rsid w:val="1910107B"/>
    <w:rsid w:val="19125308"/>
    <w:rsid w:val="1919445B"/>
    <w:rsid w:val="19262FF3"/>
    <w:rsid w:val="1929257A"/>
    <w:rsid w:val="19296C8F"/>
    <w:rsid w:val="192B582F"/>
    <w:rsid w:val="192F7BEE"/>
    <w:rsid w:val="193C5189"/>
    <w:rsid w:val="193F3607"/>
    <w:rsid w:val="193F51BD"/>
    <w:rsid w:val="1944727F"/>
    <w:rsid w:val="1948038A"/>
    <w:rsid w:val="194A66F4"/>
    <w:rsid w:val="194C08BA"/>
    <w:rsid w:val="19507206"/>
    <w:rsid w:val="19546D47"/>
    <w:rsid w:val="19594AC8"/>
    <w:rsid w:val="19642537"/>
    <w:rsid w:val="19704940"/>
    <w:rsid w:val="19767890"/>
    <w:rsid w:val="197E00E2"/>
    <w:rsid w:val="197E4EC9"/>
    <w:rsid w:val="19801AD3"/>
    <w:rsid w:val="19854BB3"/>
    <w:rsid w:val="198A317C"/>
    <w:rsid w:val="198A5B9B"/>
    <w:rsid w:val="198E504F"/>
    <w:rsid w:val="198E7CC2"/>
    <w:rsid w:val="19935571"/>
    <w:rsid w:val="199628D2"/>
    <w:rsid w:val="1997041E"/>
    <w:rsid w:val="19977F1D"/>
    <w:rsid w:val="19A055FC"/>
    <w:rsid w:val="19A204F1"/>
    <w:rsid w:val="19A47FBE"/>
    <w:rsid w:val="19A9542D"/>
    <w:rsid w:val="19AF141B"/>
    <w:rsid w:val="19B45EC6"/>
    <w:rsid w:val="19BC434C"/>
    <w:rsid w:val="19C0635C"/>
    <w:rsid w:val="19C80E4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2CA0"/>
    <w:rsid w:val="1A163D2A"/>
    <w:rsid w:val="1A291CE9"/>
    <w:rsid w:val="1A2933F0"/>
    <w:rsid w:val="1A295ED4"/>
    <w:rsid w:val="1A2979B4"/>
    <w:rsid w:val="1A2B340C"/>
    <w:rsid w:val="1A326A5E"/>
    <w:rsid w:val="1A35314D"/>
    <w:rsid w:val="1A4351F7"/>
    <w:rsid w:val="1A4D3567"/>
    <w:rsid w:val="1A503600"/>
    <w:rsid w:val="1A5078A1"/>
    <w:rsid w:val="1A574E8B"/>
    <w:rsid w:val="1A5A027E"/>
    <w:rsid w:val="1A5B332D"/>
    <w:rsid w:val="1A5D418F"/>
    <w:rsid w:val="1A667C29"/>
    <w:rsid w:val="1A68714A"/>
    <w:rsid w:val="1A767810"/>
    <w:rsid w:val="1A792E51"/>
    <w:rsid w:val="1A795091"/>
    <w:rsid w:val="1A7A1B33"/>
    <w:rsid w:val="1A7C1335"/>
    <w:rsid w:val="1A84713F"/>
    <w:rsid w:val="1A864E70"/>
    <w:rsid w:val="1A8820D0"/>
    <w:rsid w:val="1A886852"/>
    <w:rsid w:val="1A891BA3"/>
    <w:rsid w:val="1A8B4007"/>
    <w:rsid w:val="1A8F4F1E"/>
    <w:rsid w:val="1A901FBE"/>
    <w:rsid w:val="1A904E3C"/>
    <w:rsid w:val="1A907D69"/>
    <w:rsid w:val="1A981D7B"/>
    <w:rsid w:val="1A991640"/>
    <w:rsid w:val="1AA14EDD"/>
    <w:rsid w:val="1AA33EAF"/>
    <w:rsid w:val="1AA4489D"/>
    <w:rsid w:val="1AA950A9"/>
    <w:rsid w:val="1AA964C5"/>
    <w:rsid w:val="1AAC5EBD"/>
    <w:rsid w:val="1AB84139"/>
    <w:rsid w:val="1AB8464E"/>
    <w:rsid w:val="1AB86D73"/>
    <w:rsid w:val="1ABE6357"/>
    <w:rsid w:val="1AC05FAA"/>
    <w:rsid w:val="1AC51203"/>
    <w:rsid w:val="1AC94503"/>
    <w:rsid w:val="1AC948BA"/>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1D54"/>
    <w:rsid w:val="1B265FC9"/>
    <w:rsid w:val="1B397F6B"/>
    <w:rsid w:val="1B3A63E1"/>
    <w:rsid w:val="1B3B1E3D"/>
    <w:rsid w:val="1B3B44BF"/>
    <w:rsid w:val="1B3F232C"/>
    <w:rsid w:val="1B435219"/>
    <w:rsid w:val="1B452832"/>
    <w:rsid w:val="1B517050"/>
    <w:rsid w:val="1B55429F"/>
    <w:rsid w:val="1B5C4B10"/>
    <w:rsid w:val="1B61276F"/>
    <w:rsid w:val="1B676B44"/>
    <w:rsid w:val="1B6B6632"/>
    <w:rsid w:val="1B6F4CAB"/>
    <w:rsid w:val="1B7D6CAD"/>
    <w:rsid w:val="1B8474D6"/>
    <w:rsid w:val="1B977DE2"/>
    <w:rsid w:val="1B9A19C7"/>
    <w:rsid w:val="1B9D1CD8"/>
    <w:rsid w:val="1BA11EB8"/>
    <w:rsid w:val="1BA43A43"/>
    <w:rsid w:val="1BA500AA"/>
    <w:rsid w:val="1BA65768"/>
    <w:rsid w:val="1BAD3EDE"/>
    <w:rsid w:val="1BB07692"/>
    <w:rsid w:val="1BB2123C"/>
    <w:rsid w:val="1BBA4777"/>
    <w:rsid w:val="1BBC69DC"/>
    <w:rsid w:val="1BBF70DC"/>
    <w:rsid w:val="1BD3282F"/>
    <w:rsid w:val="1BD40132"/>
    <w:rsid w:val="1BD40EFB"/>
    <w:rsid w:val="1BD6379A"/>
    <w:rsid w:val="1BD77F25"/>
    <w:rsid w:val="1BD85300"/>
    <w:rsid w:val="1BD93FE1"/>
    <w:rsid w:val="1BDF06EA"/>
    <w:rsid w:val="1BE05A00"/>
    <w:rsid w:val="1BE60A89"/>
    <w:rsid w:val="1BED5DF9"/>
    <w:rsid w:val="1BF6094C"/>
    <w:rsid w:val="1BFB76FA"/>
    <w:rsid w:val="1BFC4EEB"/>
    <w:rsid w:val="1C086588"/>
    <w:rsid w:val="1C097162"/>
    <w:rsid w:val="1C0A656E"/>
    <w:rsid w:val="1C114C4D"/>
    <w:rsid w:val="1C16147F"/>
    <w:rsid w:val="1C176961"/>
    <w:rsid w:val="1C1C6556"/>
    <w:rsid w:val="1C23366C"/>
    <w:rsid w:val="1C245463"/>
    <w:rsid w:val="1C2D02F8"/>
    <w:rsid w:val="1C3019B6"/>
    <w:rsid w:val="1C327EC7"/>
    <w:rsid w:val="1C376C5A"/>
    <w:rsid w:val="1C3D1CE9"/>
    <w:rsid w:val="1C3F5739"/>
    <w:rsid w:val="1C41146D"/>
    <w:rsid w:val="1C4404B4"/>
    <w:rsid w:val="1C4863EB"/>
    <w:rsid w:val="1C4A151A"/>
    <w:rsid w:val="1C4A4C0A"/>
    <w:rsid w:val="1C512A13"/>
    <w:rsid w:val="1C51797A"/>
    <w:rsid w:val="1C5245A7"/>
    <w:rsid w:val="1C532913"/>
    <w:rsid w:val="1C55783B"/>
    <w:rsid w:val="1C597B10"/>
    <w:rsid w:val="1C606999"/>
    <w:rsid w:val="1C65681C"/>
    <w:rsid w:val="1C6611FF"/>
    <w:rsid w:val="1C6E29AB"/>
    <w:rsid w:val="1C6E5EB5"/>
    <w:rsid w:val="1C7026A5"/>
    <w:rsid w:val="1C787478"/>
    <w:rsid w:val="1C7A4B33"/>
    <w:rsid w:val="1C861BA5"/>
    <w:rsid w:val="1C87286B"/>
    <w:rsid w:val="1C887739"/>
    <w:rsid w:val="1C8C7365"/>
    <w:rsid w:val="1C946042"/>
    <w:rsid w:val="1C9A58D3"/>
    <w:rsid w:val="1C9B511E"/>
    <w:rsid w:val="1C9D7804"/>
    <w:rsid w:val="1CA86F01"/>
    <w:rsid w:val="1CAA0938"/>
    <w:rsid w:val="1CAB16B9"/>
    <w:rsid w:val="1CAC48C5"/>
    <w:rsid w:val="1CAF26D0"/>
    <w:rsid w:val="1CB15744"/>
    <w:rsid w:val="1CBB2BE6"/>
    <w:rsid w:val="1CC042D2"/>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4119"/>
    <w:rsid w:val="1D6C52DC"/>
    <w:rsid w:val="1D6C751F"/>
    <w:rsid w:val="1D70796F"/>
    <w:rsid w:val="1D754741"/>
    <w:rsid w:val="1D7917EF"/>
    <w:rsid w:val="1D7D4C76"/>
    <w:rsid w:val="1D8057CA"/>
    <w:rsid w:val="1D855F2F"/>
    <w:rsid w:val="1D9259FC"/>
    <w:rsid w:val="1D926190"/>
    <w:rsid w:val="1D932CF5"/>
    <w:rsid w:val="1D9460DE"/>
    <w:rsid w:val="1DA24185"/>
    <w:rsid w:val="1DA414EA"/>
    <w:rsid w:val="1DA52964"/>
    <w:rsid w:val="1DA702A0"/>
    <w:rsid w:val="1DA84041"/>
    <w:rsid w:val="1DA93265"/>
    <w:rsid w:val="1DA97B98"/>
    <w:rsid w:val="1DAF513F"/>
    <w:rsid w:val="1DB03A43"/>
    <w:rsid w:val="1DB447C8"/>
    <w:rsid w:val="1DB80A24"/>
    <w:rsid w:val="1DBF1E64"/>
    <w:rsid w:val="1DC00537"/>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04FED"/>
    <w:rsid w:val="1E122944"/>
    <w:rsid w:val="1E167FA6"/>
    <w:rsid w:val="1E1A488E"/>
    <w:rsid w:val="1E1A5B91"/>
    <w:rsid w:val="1E2133C2"/>
    <w:rsid w:val="1E252837"/>
    <w:rsid w:val="1E291941"/>
    <w:rsid w:val="1E2B5964"/>
    <w:rsid w:val="1E2E2CE1"/>
    <w:rsid w:val="1E2F2116"/>
    <w:rsid w:val="1E300851"/>
    <w:rsid w:val="1E301FEE"/>
    <w:rsid w:val="1E343DC7"/>
    <w:rsid w:val="1E3C5518"/>
    <w:rsid w:val="1E3E45C2"/>
    <w:rsid w:val="1E3E62A6"/>
    <w:rsid w:val="1E4059E9"/>
    <w:rsid w:val="1E4421BA"/>
    <w:rsid w:val="1E49220A"/>
    <w:rsid w:val="1E4D6A6C"/>
    <w:rsid w:val="1E52513C"/>
    <w:rsid w:val="1E5554D9"/>
    <w:rsid w:val="1E561C05"/>
    <w:rsid w:val="1E595EF3"/>
    <w:rsid w:val="1E6900A7"/>
    <w:rsid w:val="1E6E1DF0"/>
    <w:rsid w:val="1E725D58"/>
    <w:rsid w:val="1E745115"/>
    <w:rsid w:val="1E7D557D"/>
    <w:rsid w:val="1E8209D7"/>
    <w:rsid w:val="1E872C74"/>
    <w:rsid w:val="1E8A3684"/>
    <w:rsid w:val="1E8B6141"/>
    <w:rsid w:val="1E902374"/>
    <w:rsid w:val="1E912F39"/>
    <w:rsid w:val="1E941393"/>
    <w:rsid w:val="1E974386"/>
    <w:rsid w:val="1E994431"/>
    <w:rsid w:val="1EA31D3F"/>
    <w:rsid w:val="1EA51FFC"/>
    <w:rsid w:val="1EA96187"/>
    <w:rsid w:val="1EAD4715"/>
    <w:rsid w:val="1EAD6B73"/>
    <w:rsid w:val="1EAE45FC"/>
    <w:rsid w:val="1EB010E6"/>
    <w:rsid w:val="1EB02419"/>
    <w:rsid w:val="1EB85929"/>
    <w:rsid w:val="1EB9671A"/>
    <w:rsid w:val="1EBA66FA"/>
    <w:rsid w:val="1EBC68DA"/>
    <w:rsid w:val="1EBF4CD5"/>
    <w:rsid w:val="1EC063B9"/>
    <w:rsid w:val="1ECA6972"/>
    <w:rsid w:val="1ECE1B03"/>
    <w:rsid w:val="1ECE723E"/>
    <w:rsid w:val="1ED55822"/>
    <w:rsid w:val="1EE82B1F"/>
    <w:rsid w:val="1EE83BBB"/>
    <w:rsid w:val="1EEA0B27"/>
    <w:rsid w:val="1EEC1AE0"/>
    <w:rsid w:val="1EEC3E9A"/>
    <w:rsid w:val="1EF15EF6"/>
    <w:rsid w:val="1EF47C22"/>
    <w:rsid w:val="1EFB41E9"/>
    <w:rsid w:val="1F072262"/>
    <w:rsid w:val="1F0A6660"/>
    <w:rsid w:val="1F113D7D"/>
    <w:rsid w:val="1F1B3A11"/>
    <w:rsid w:val="1F2C4DDD"/>
    <w:rsid w:val="1F2D7DE6"/>
    <w:rsid w:val="1F2E587C"/>
    <w:rsid w:val="1F35610C"/>
    <w:rsid w:val="1F3965C5"/>
    <w:rsid w:val="1F3F7CB8"/>
    <w:rsid w:val="1F4446D7"/>
    <w:rsid w:val="1F454DA9"/>
    <w:rsid w:val="1F477D89"/>
    <w:rsid w:val="1F504A65"/>
    <w:rsid w:val="1F507664"/>
    <w:rsid w:val="1F544B9B"/>
    <w:rsid w:val="1F576A45"/>
    <w:rsid w:val="1F6037D1"/>
    <w:rsid w:val="1F61588F"/>
    <w:rsid w:val="1F637F5A"/>
    <w:rsid w:val="1F710118"/>
    <w:rsid w:val="1F764C52"/>
    <w:rsid w:val="1F792C3A"/>
    <w:rsid w:val="1F7C64ED"/>
    <w:rsid w:val="1F802382"/>
    <w:rsid w:val="1F9A7DD3"/>
    <w:rsid w:val="1FA35CF7"/>
    <w:rsid w:val="1FAA54F7"/>
    <w:rsid w:val="1FB04C74"/>
    <w:rsid w:val="1FB234B9"/>
    <w:rsid w:val="1FB966AC"/>
    <w:rsid w:val="1FC9495F"/>
    <w:rsid w:val="1FCC6D20"/>
    <w:rsid w:val="1FCD6C5E"/>
    <w:rsid w:val="1FE91010"/>
    <w:rsid w:val="1FEA7C4D"/>
    <w:rsid w:val="1FED0EE5"/>
    <w:rsid w:val="1FED1708"/>
    <w:rsid w:val="1FF00B32"/>
    <w:rsid w:val="1FF4310A"/>
    <w:rsid w:val="1FF70657"/>
    <w:rsid w:val="1FF9222B"/>
    <w:rsid w:val="20072690"/>
    <w:rsid w:val="200960B8"/>
    <w:rsid w:val="200E03D3"/>
    <w:rsid w:val="200F45A3"/>
    <w:rsid w:val="2015765B"/>
    <w:rsid w:val="201629C6"/>
    <w:rsid w:val="20173126"/>
    <w:rsid w:val="201C0D40"/>
    <w:rsid w:val="20256BF3"/>
    <w:rsid w:val="202904CB"/>
    <w:rsid w:val="202A66BB"/>
    <w:rsid w:val="202E1138"/>
    <w:rsid w:val="20350D4D"/>
    <w:rsid w:val="203971E9"/>
    <w:rsid w:val="204D6F97"/>
    <w:rsid w:val="20507F06"/>
    <w:rsid w:val="20594BEA"/>
    <w:rsid w:val="205C388F"/>
    <w:rsid w:val="205F780B"/>
    <w:rsid w:val="20633817"/>
    <w:rsid w:val="207A7253"/>
    <w:rsid w:val="207D2005"/>
    <w:rsid w:val="207F108A"/>
    <w:rsid w:val="208138D1"/>
    <w:rsid w:val="20874C2B"/>
    <w:rsid w:val="208916D3"/>
    <w:rsid w:val="208C58CE"/>
    <w:rsid w:val="208C6C73"/>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32D1B"/>
    <w:rsid w:val="20C43B9F"/>
    <w:rsid w:val="20C976CD"/>
    <w:rsid w:val="20CA278B"/>
    <w:rsid w:val="20CF43B0"/>
    <w:rsid w:val="20D50E20"/>
    <w:rsid w:val="20D717F1"/>
    <w:rsid w:val="20DB4340"/>
    <w:rsid w:val="20E30CFA"/>
    <w:rsid w:val="20E70102"/>
    <w:rsid w:val="20EF51C8"/>
    <w:rsid w:val="20F05924"/>
    <w:rsid w:val="20F13F32"/>
    <w:rsid w:val="20F453F7"/>
    <w:rsid w:val="20F54434"/>
    <w:rsid w:val="20F627FE"/>
    <w:rsid w:val="20F81429"/>
    <w:rsid w:val="20FD6D18"/>
    <w:rsid w:val="20FE48A8"/>
    <w:rsid w:val="20FE4BBD"/>
    <w:rsid w:val="2103608A"/>
    <w:rsid w:val="210F68A1"/>
    <w:rsid w:val="21133C1E"/>
    <w:rsid w:val="211C0E4B"/>
    <w:rsid w:val="211D790C"/>
    <w:rsid w:val="2120090B"/>
    <w:rsid w:val="212720E3"/>
    <w:rsid w:val="2128143B"/>
    <w:rsid w:val="212815C7"/>
    <w:rsid w:val="212A2ADC"/>
    <w:rsid w:val="212B1845"/>
    <w:rsid w:val="212C40DA"/>
    <w:rsid w:val="212D0011"/>
    <w:rsid w:val="212E53BC"/>
    <w:rsid w:val="21304188"/>
    <w:rsid w:val="213B5D42"/>
    <w:rsid w:val="213D76B7"/>
    <w:rsid w:val="213D7BA2"/>
    <w:rsid w:val="2143692E"/>
    <w:rsid w:val="21452AE2"/>
    <w:rsid w:val="214822FE"/>
    <w:rsid w:val="2148417B"/>
    <w:rsid w:val="214D15D4"/>
    <w:rsid w:val="21553ADF"/>
    <w:rsid w:val="21580349"/>
    <w:rsid w:val="215F24F2"/>
    <w:rsid w:val="21633F9B"/>
    <w:rsid w:val="21641AC3"/>
    <w:rsid w:val="216C6B87"/>
    <w:rsid w:val="216D2FFC"/>
    <w:rsid w:val="2175003E"/>
    <w:rsid w:val="217A71B3"/>
    <w:rsid w:val="217C6EC7"/>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73B21"/>
    <w:rsid w:val="21DC04F8"/>
    <w:rsid w:val="21DC4656"/>
    <w:rsid w:val="21E5678C"/>
    <w:rsid w:val="21E8009D"/>
    <w:rsid w:val="21EC66F9"/>
    <w:rsid w:val="21EF2E89"/>
    <w:rsid w:val="21F27385"/>
    <w:rsid w:val="21F477AF"/>
    <w:rsid w:val="21F80754"/>
    <w:rsid w:val="21FD1F93"/>
    <w:rsid w:val="2203212D"/>
    <w:rsid w:val="22122053"/>
    <w:rsid w:val="221500FE"/>
    <w:rsid w:val="22160E61"/>
    <w:rsid w:val="22170083"/>
    <w:rsid w:val="22191667"/>
    <w:rsid w:val="221E4044"/>
    <w:rsid w:val="22287532"/>
    <w:rsid w:val="222E4B36"/>
    <w:rsid w:val="222F05E6"/>
    <w:rsid w:val="22317A3E"/>
    <w:rsid w:val="22330CD8"/>
    <w:rsid w:val="22335E59"/>
    <w:rsid w:val="22447536"/>
    <w:rsid w:val="224744C4"/>
    <w:rsid w:val="224B0DB4"/>
    <w:rsid w:val="22550A45"/>
    <w:rsid w:val="22583396"/>
    <w:rsid w:val="225B121F"/>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2293E"/>
    <w:rsid w:val="23075061"/>
    <w:rsid w:val="230A64F4"/>
    <w:rsid w:val="23136A91"/>
    <w:rsid w:val="2314181E"/>
    <w:rsid w:val="2317727F"/>
    <w:rsid w:val="231C33A3"/>
    <w:rsid w:val="232020A5"/>
    <w:rsid w:val="23247DA8"/>
    <w:rsid w:val="23263DF4"/>
    <w:rsid w:val="232A727C"/>
    <w:rsid w:val="233072E9"/>
    <w:rsid w:val="23357DCC"/>
    <w:rsid w:val="23360C6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07869"/>
    <w:rsid w:val="23B2688C"/>
    <w:rsid w:val="23BC401C"/>
    <w:rsid w:val="23BD2FC4"/>
    <w:rsid w:val="23C228CA"/>
    <w:rsid w:val="23C47EE0"/>
    <w:rsid w:val="23C97F42"/>
    <w:rsid w:val="23CA454E"/>
    <w:rsid w:val="23CB2FC5"/>
    <w:rsid w:val="23D07021"/>
    <w:rsid w:val="23D75FA5"/>
    <w:rsid w:val="23DC78BC"/>
    <w:rsid w:val="23DD31F6"/>
    <w:rsid w:val="23E64F34"/>
    <w:rsid w:val="23E75469"/>
    <w:rsid w:val="23EE1A0B"/>
    <w:rsid w:val="23EE32CE"/>
    <w:rsid w:val="23F650B1"/>
    <w:rsid w:val="24032E6A"/>
    <w:rsid w:val="24054AA6"/>
    <w:rsid w:val="24055D97"/>
    <w:rsid w:val="240C233A"/>
    <w:rsid w:val="240F66A9"/>
    <w:rsid w:val="24107D2B"/>
    <w:rsid w:val="241157A7"/>
    <w:rsid w:val="24191D8F"/>
    <w:rsid w:val="241A0D14"/>
    <w:rsid w:val="242148AF"/>
    <w:rsid w:val="24373F32"/>
    <w:rsid w:val="244359C5"/>
    <w:rsid w:val="24444FD4"/>
    <w:rsid w:val="24464871"/>
    <w:rsid w:val="244A34E7"/>
    <w:rsid w:val="244C2F9E"/>
    <w:rsid w:val="245D17E8"/>
    <w:rsid w:val="245D35CF"/>
    <w:rsid w:val="246511E2"/>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D87C11"/>
    <w:rsid w:val="24E5269B"/>
    <w:rsid w:val="24E668F1"/>
    <w:rsid w:val="24E728F0"/>
    <w:rsid w:val="24EE263C"/>
    <w:rsid w:val="24EF13F1"/>
    <w:rsid w:val="24F36985"/>
    <w:rsid w:val="24F978B1"/>
    <w:rsid w:val="24FE3045"/>
    <w:rsid w:val="250D00F8"/>
    <w:rsid w:val="250F009E"/>
    <w:rsid w:val="25213072"/>
    <w:rsid w:val="25261539"/>
    <w:rsid w:val="25271C67"/>
    <w:rsid w:val="25285778"/>
    <w:rsid w:val="252B3115"/>
    <w:rsid w:val="253009E7"/>
    <w:rsid w:val="253114FF"/>
    <w:rsid w:val="25314B2C"/>
    <w:rsid w:val="253213B3"/>
    <w:rsid w:val="253709F7"/>
    <w:rsid w:val="253A7368"/>
    <w:rsid w:val="253D2262"/>
    <w:rsid w:val="25431853"/>
    <w:rsid w:val="254546F8"/>
    <w:rsid w:val="254876B3"/>
    <w:rsid w:val="255513D2"/>
    <w:rsid w:val="255A50C8"/>
    <w:rsid w:val="255B49B3"/>
    <w:rsid w:val="255C1932"/>
    <w:rsid w:val="255E294F"/>
    <w:rsid w:val="255E6C6C"/>
    <w:rsid w:val="25692DFE"/>
    <w:rsid w:val="256C3D8F"/>
    <w:rsid w:val="256D6BF2"/>
    <w:rsid w:val="257803EE"/>
    <w:rsid w:val="257D18E3"/>
    <w:rsid w:val="257D3935"/>
    <w:rsid w:val="257E3B36"/>
    <w:rsid w:val="258251CA"/>
    <w:rsid w:val="258637B3"/>
    <w:rsid w:val="25874CB7"/>
    <w:rsid w:val="258A7CED"/>
    <w:rsid w:val="25931817"/>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27A37"/>
    <w:rsid w:val="25C338EC"/>
    <w:rsid w:val="25C613D4"/>
    <w:rsid w:val="25C722A0"/>
    <w:rsid w:val="25CA4650"/>
    <w:rsid w:val="25CD5887"/>
    <w:rsid w:val="25D2700D"/>
    <w:rsid w:val="25D3740E"/>
    <w:rsid w:val="25D37D50"/>
    <w:rsid w:val="25D577BE"/>
    <w:rsid w:val="25D80360"/>
    <w:rsid w:val="25DE7808"/>
    <w:rsid w:val="25E10B12"/>
    <w:rsid w:val="25E6527D"/>
    <w:rsid w:val="25F758CB"/>
    <w:rsid w:val="26040C06"/>
    <w:rsid w:val="260B0A4A"/>
    <w:rsid w:val="26144453"/>
    <w:rsid w:val="26193B65"/>
    <w:rsid w:val="26197FFF"/>
    <w:rsid w:val="261B562B"/>
    <w:rsid w:val="261B5B78"/>
    <w:rsid w:val="261B6EC1"/>
    <w:rsid w:val="26243082"/>
    <w:rsid w:val="26274BCC"/>
    <w:rsid w:val="262D5251"/>
    <w:rsid w:val="2633043C"/>
    <w:rsid w:val="2636650A"/>
    <w:rsid w:val="263A64BD"/>
    <w:rsid w:val="263B50EB"/>
    <w:rsid w:val="263E452D"/>
    <w:rsid w:val="264B1ACA"/>
    <w:rsid w:val="264E2A31"/>
    <w:rsid w:val="265523BC"/>
    <w:rsid w:val="26564BED"/>
    <w:rsid w:val="265C585D"/>
    <w:rsid w:val="265F34AE"/>
    <w:rsid w:val="26614B09"/>
    <w:rsid w:val="26623D0F"/>
    <w:rsid w:val="2663123F"/>
    <w:rsid w:val="266339E8"/>
    <w:rsid w:val="26725883"/>
    <w:rsid w:val="26737526"/>
    <w:rsid w:val="267B6EC2"/>
    <w:rsid w:val="26807462"/>
    <w:rsid w:val="26872E00"/>
    <w:rsid w:val="268A2240"/>
    <w:rsid w:val="268D7063"/>
    <w:rsid w:val="26914E2B"/>
    <w:rsid w:val="26916DB8"/>
    <w:rsid w:val="269355F4"/>
    <w:rsid w:val="269837EF"/>
    <w:rsid w:val="269E794D"/>
    <w:rsid w:val="26A84125"/>
    <w:rsid w:val="26AF7EB1"/>
    <w:rsid w:val="26B11AEC"/>
    <w:rsid w:val="26B7502F"/>
    <w:rsid w:val="26B82CF0"/>
    <w:rsid w:val="26B8558F"/>
    <w:rsid w:val="26C03942"/>
    <w:rsid w:val="26CF27C0"/>
    <w:rsid w:val="26D07CC0"/>
    <w:rsid w:val="26D27F3B"/>
    <w:rsid w:val="26E535DE"/>
    <w:rsid w:val="26F0116E"/>
    <w:rsid w:val="26F62BE0"/>
    <w:rsid w:val="27007DB1"/>
    <w:rsid w:val="27023FD8"/>
    <w:rsid w:val="270268FC"/>
    <w:rsid w:val="270A4A11"/>
    <w:rsid w:val="27115F5E"/>
    <w:rsid w:val="27131A32"/>
    <w:rsid w:val="271438F4"/>
    <w:rsid w:val="27181BBE"/>
    <w:rsid w:val="272201E2"/>
    <w:rsid w:val="27222347"/>
    <w:rsid w:val="27261FD2"/>
    <w:rsid w:val="272E2378"/>
    <w:rsid w:val="27321F5C"/>
    <w:rsid w:val="273C76EB"/>
    <w:rsid w:val="273E15AB"/>
    <w:rsid w:val="274159F7"/>
    <w:rsid w:val="27492EA8"/>
    <w:rsid w:val="274B09CE"/>
    <w:rsid w:val="275269EE"/>
    <w:rsid w:val="2755572E"/>
    <w:rsid w:val="276010D4"/>
    <w:rsid w:val="27614F78"/>
    <w:rsid w:val="27647913"/>
    <w:rsid w:val="27653B8D"/>
    <w:rsid w:val="276B0663"/>
    <w:rsid w:val="276C47FF"/>
    <w:rsid w:val="2773738D"/>
    <w:rsid w:val="277973C8"/>
    <w:rsid w:val="27880564"/>
    <w:rsid w:val="278C4BFF"/>
    <w:rsid w:val="278E5245"/>
    <w:rsid w:val="279025EE"/>
    <w:rsid w:val="27924A6D"/>
    <w:rsid w:val="27992850"/>
    <w:rsid w:val="27AA4362"/>
    <w:rsid w:val="27AF12EF"/>
    <w:rsid w:val="27B47525"/>
    <w:rsid w:val="27BF67BA"/>
    <w:rsid w:val="27C04AAA"/>
    <w:rsid w:val="27C07D92"/>
    <w:rsid w:val="27C60A21"/>
    <w:rsid w:val="27D021D8"/>
    <w:rsid w:val="27D54E77"/>
    <w:rsid w:val="27D65DE5"/>
    <w:rsid w:val="27D7429E"/>
    <w:rsid w:val="27DC7DE0"/>
    <w:rsid w:val="27DE1BFF"/>
    <w:rsid w:val="27E12983"/>
    <w:rsid w:val="27E44357"/>
    <w:rsid w:val="27E86387"/>
    <w:rsid w:val="27EA32D3"/>
    <w:rsid w:val="27EF19A7"/>
    <w:rsid w:val="27F22F77"/>
    <w:rsid w:val="27F407C2"/>
    <w:rsid w:val="27F75AC8"/>
    <w:rsid w:val="27F9211D"/>
    <w:rsid w:val="27FC6201"/>
    <w:rsid w:val="280043D0"/>
    <w:rsid w:val="280331CC"/>
    <w:rsid w:val="280A1E8D"/>
    <w:rsid w:val="280E125B"/>
    <w:rsid w:val="280F0B82"/>
    <w:rsid w:val="281149D9"/>
    <w:rsid w:val="28214635"/>
    <w:rsid w:val="2824695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360B4"/>
    <w:rsid w:val="286F63D7"/>
    <w:rsid w:val="2884313F"/>
    <w:rsid w:val="28894E5C"/>
    <w:rsid w:val="288956F5"/>
    <w:rsid w:val="288D263D"/>
    <w:rsid w:val="28931C39"/>
    <w:rsid w:val="289453F5"/>
    <w:rsid w:val="28953D90"/>
    <w:rsid w:val="28954BFC"/>
    <w:rsid w:val="289F51C6"/>
    <w:rsid w:val="28A66A75"/>
    <w:rsid w:val="28A7347C"/>
    <w:rsid w:val="28A9531B"/>
    <w:rsid w:val="28A95880"/>
    <w:rsid w:val="28B26A1A"/>
    <w:rsid w:val="28BC55B3"/>
    <w:rsid w:val="28BF59E6"/>
    <w:rsid w:val="28C14F11"/>
    <w:rsid w:val="28C52C68"/>
    <w:rsid w:val="28CF0263"/>
    <w:rsid w:val="28D773A2"/>
    <w:rsid w:val="28E069B4"/>
    <w:rsid w:val="28E17E2C"/>
    <w:rsid w:val="28E44161"/>
    <w:rsid w:val="28E474F2"/>
    <w:rsid w:val="28F15C5D"/>
    <w:rsid w:val="28FA1728"/>
    <w:rsid w:val="28FB61AA"/>
    <w:rsid w:val="290301B6"/>
    <w:rsid w:val="29046B1A"/>
    <w:rsid w:val="29070F98"/>
    <w:rsid w:val="290C30B7"/>
    <w:rsid w:val="290E7E3D"/>
    <w:rsid w:val="290F5FD5"/>
    <w:rsid w:val="2911001D"/>
    <w:rsid w:val="2911600E"/>
    <w:rsid w:val="291671BE"/>
    <w:rsid w:val="291E162B"/>
    <w:rsid w:val="291F06CA"/>
    <w:rsid w:val="292E488D"/>
    <w:rsid w:val="2932177F"/>
    <w:rsid w:val="29332D86"/>
    <w:rsid w:val="293B6623"/>
    <w:rsid w:val="293C4A53"/>
    <w:rsid w:val="293F5BD5"/>
    <w:rsid w:val="29427904"/>
    <w:rsid w:val="294438A1"/>
    <w:rsid w:val="29473510"/>
    <w:rsid w:val="29473AA4"/>
    <w:rsid w:val="294C3727"/>
    <w:rsid w:val="295072ED"/>
    <w:rsid w:val="29516A9C"/>
    <w:rsid w:val="295439EA"/>
    <w:rsid w:val="2958513D"/>
    <w:rsid w:val="295C041A"/>
    <w:rsid w:val="295C36E2"/>
    <w:rsid w:val="2961437A"/>
    <w:rsid w:val="29672F7E"/>
    <w:rsid w:val="29717D72"/>
    <w:rsid w:val="2972757D"/>
    <w:rsid w:val="2978500B"/>
    <w:rsid w:val="29793538"/>
    <w:rsid w:val="2979571D"/>
    <w:rsid w:val="297A488F"/>
    <w:rsid w:val="297E42BA"/>
    <w:rsid w:val="298201B8"/>
    <w:rsid w:val="29835EF3"/>
    <w:rsid w:val="299B07C3"/>
    <w:rsid w:val="299B6E36"/>
    <w:rsid w:val="29A06750"/>
    <w:rsid w:val="29A57939"/>
    <w:rsid w:val="29A646F0"/>
    <w:rsid w:val="29AB1C0C"/>
    <w:rsid w:val="29AB7532"/>
    <w:rsid w:val="29AC5E75"/>
    <w:rsid w:val="29AC64D3"/>
    <w:rsid w:val="29B508BB"/>
    <w:rsid w:val="29B772EE"/>
    <w:rsid w:val="29B92091"/>
    <w:rsid w:val="29BC3896"/>
    <w:rsid w:val="29BD4006"/>
    <w:rsid w:val="29CA48E3"/>
    <w:rsid w:val="29D905A6"/>
    <w:rsid w:val="29E705C4"/>
    <w:rsid w:val="29EB5B61"/>
    <w:rsid w:val="29EF69C0"/>
    <w:rsid w:val="29F143B2"/>
    <w:rsid w:val="29F15ECD"/>
    <w:rsid w:val="29F50529"/>
    <w:rsid w:val="29F6357B"/>
    <w:rsid w:val="29F64D54"/>
    <w:rsid w:val="2A0011E1"/>
    <w:rsid w:val="2A027DC4"/>
    <w:rsid w:val="2A0A3233"/>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212F0"/>
    <w:rsid w:val="2A917182"/>
    <w:rsid w:val="2A920759"/>
    <w:rsid w:val="2A974BCB"/>
    <w:rsid w:val="2A9C49E4"/>
    <w:rsid w:val="2AA908D0"/>
    <w:rsid w:val="2AA95D82"/>
    <w:rsid w:val="2AB90F00"/>
    <w:rsid w:val="2ABA5408"/>
    <w:rsid w:val="2ABB429B"/>
    <w:rsid w:val="2AC64A5F"/>
    <w:rsid w:val="2AC9741F"/>
    <w:rsid w:val="2ACB6B27"/>
    <w:rsid w:val="2AD623FD"/>
    <w:rsid w:val="2AD92B70"/>
    <w:rsid w:val="2ADA1FD1"/>
    <w:rsid w:val="2AE020A3"/>
    <w:rsid w:val="2AE573C9"/>
    <w:rsid w:val="2AE83255"/>
    <w:rsid w:val="2AF012D3"/>
    <w:rsid w:val="2AFA2135"/>
    <w:rsid w:val="2AFA5225"/>
    <w:rsid w:val="2B08119A"/>
    <w:rsid w:val="2B085178"/>
    <w:rsid w:val="2B0B1C38"/>
    <w:rsid w:val="2B1F16F3"/>
    <w:rsid w:val="2B227650"/>
    <w:rsid w:val="2B2C22C2"/>
    <w:rsid w:val="2B2D65DC"/>
    <w:rsid w:val="2B302D1A"/>
    <w:rsid w:val="2B315CB1"/>
    <w:rsid w:val="2B321E0D"/>
    <w:rsid w:val="2B4564CE"/>
    <w:rsid w:val="2B56567D"/>
    <w:rsid w:val="2B5D0E62"/>
    <w:rsid w:val="2B6760F7"/>
    <w:rsid w:val="2B730BFC"/>
    <w:rsid w:val="2B75081A"/>
    <w:rsid w:val="2B76644D"/>
    <w:rsid w:val="2B77462E"/>
    <w:rsid w:val="2B78636B"/>
    <w:rsid w:val="2B79314A"/>
    <w:rsid w:val="2B8C075F"/>
    <w:rsid w:val="2B944197"/>
    <w:rsid w:val="2B98046F"/>
    <w:rsid w:val="2B990220"/>
    <w:rsid w:val="2B9F7005"/>
    <w:rsid w:val="2BA07465"/>
    <w:rsid w:val="2BA5313A"/>
    <w:rsid w:val="2BA56072"/>
    <w:rsid w:val="2BA62DB5"/>
    <w:rsid w:val="2BA90775"/>
    <w:rsid w:val="2BB259E6"/>
    <w:rsid w:val="2BB37DDA"/>
    <w:rsid w:val="2BC636A5"/>
    <w:rsid w:val="2BCA539C"/>
    <w:rsid w:val="2BCE1785"/>
    <w:rsid w:val="2BCF702A"/>
    <w:rsid w:val="2BD13874"/>
    <w:rsid w:val="2BD3485D"/>
    <w:rsid w:val="2BEA572B"/>
    <w:rsid w:val="2BED6E21"/>
    <w:rsid w:val="2BEF1332"/>
    <w:rsid w:val="2BF37482"/>
    <w:rsid w:val="2BFC4190"/>
    <w:rsid w:val="2BFC604E"/>
    <w:rsid w:val="2C014C9D"/>
    <w:rsid w:val="2C04740C"/>
    <w:rsid w:val="2C0504F8"/>
    <w:rsid w:val="2C0577B1"/>
    <w:rsid w:val="2C14690F"/>
    <w:rsid w:val="2C1E5A47"/>
    <w:rsid w:val="2C311769"/>
    <w:rsid w:val="2C315244"/>
    <w:rsid w:val="2C4310C2"/>
    <w:rsid w:val="2C433E00"/>
    <w:rsid w:val="2C436D28"/>
    <w:rsid w:val="2C496564"/>
    <w:rsid w:val="2C4D619A"/>
    <w:rsid w:val="2C501603"/>
    <w:rsid w:val="2C512E63"/>
    <w:rsid w:val="2C5B1458"/>
    <w:rsid w:val="2C5C21E0"/>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CA6712"/>
    <w:rsid w:val="2CD30CE3"/>
    <w:rsid w:val="2CD37602"/>
    <w:rsid w:val="2CDA3D5D"/>
    <w:rsid w:val="2CE06AAF"/>
    <w:rsid w:val="2CEA515A"/>
    <w:rsid w:val="2CEE15E1"/>
    <w:rsid w:val="2CF06A3C"/>
    <w:rsid w:val="2CF26F5B"/>
    <w:rsid w:val="2CFF086A"/>
    <w:rsid w:val="2D03538A"/>
    <w:rsid w:val="2D0375A0"/>
    <w:rsid w:val="2D064182"/>
    <w:rsid w:val="2D064B26"/>
    <w:rsid w:val="2D086932"/>
    <w:rsid w:val="2D104632"/>
    <w:rsid w:val="2D3072FE"/>
    <w:rsid w:val="2D31028B"/>
    <w:rsid w:val="2D356F9E"/>
    <w:rsid w:val="2D3C2256"/>
    <w:rsid w:val="2D416432"/>
    <w:rsid w:val="2D420181"/>
    <w:rsid w:val="2D4462AF"/>
    <w:rsid w:val="2D4537ED"/>
    <w:rsid w:val="2D487A88"/>
    <w:rsid w:val="2D51110B"/>
    <w:rsid w:val="2D51656F"/>
    <w:rsid w:val="2D5F3B18"/>
    <w:rsid w:val="2D61022F"/>
    <w:rsid w:val="2D633FFF"/>
    <w:rsid w:val="2D6C388D"/>
    <w:rsid w:val="2D716D64"/>
    <w:rsid w:val="2D74403E"/>
    <w:rsid w:val="2D786928"/>
    <w:rsid w:val="2D797FB2"/>
    <w:rsid w:val="2D7E3395"/>
    <w:rsid w:val="2D8B2F25"/>
    <w:rsid w:val="2D8D3440"/>
    <w:rsid w:val="2D946AA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EF02AF"/>
    <w:rsid w:val="2DF52FB9"/>
    <w:rsid w:val="2DF73F30"/>
    <w:rsid w:val="2DFA1D0C"/>
    <w:rsid w:val="2DFA2D20"/>
    <w:rsid w:val="2DFD6AB3"/>
    <w:rsid w:val="2E0642E5"/>
    <w:rsid w:val="2E0C7A4C"/>
    <w:rsid w:val="2E0E4621"/>
    <w:rsid w:val="2E1121FD"/>
    <w:rsid w:val="2E14569B"/>
    <w:rsid w:val="2E171B0E"/>
    <w:rsid w:val="2E205229"/>
    <w:rsid w:val="2E2C3F40"/>
    <w:rsid w:val="2E2D1D61"/>
    <w:rsid w:val="2E353422"/>
    <w:rsid w:val="2E380991"/>
    <w:rsid w:val="2E3C6173"/>
    <w:rsid w:val="2E4241BC"/>
    <w:rsid w:val="2E4F6219"/>
    <w:rsid w:val="2E5024D8"/>
    <w:rsid w:val="2E522352"/>
    <w:rsid w:val="2E55304D"/>
    <w:rsid w:val="2E5F3B5E"/>
    <w:rsid w:val="2E602D70"/>
    <w:rsid w:val="2E643BF9"/>
    <w:rsid w:val="2E680509"/>
    <w:rsid w:val="2E685C92"/>
    <w:rsid w:val="2E75346A"/>
    <w:rsid w:val="2E89270D"/>
    <w:rsid w:val="2E8A68CC"/>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C0A1E"/>
    <w:rsid w:val="2EEE7023"/>
    <w:rsid w:val="2EF27D89"/>
    <w:rsid w:val="2EF83B5E"/>
    <w:rsid w:val="2EFB3FE6"/>
    <w:rsid w:val="2EFB595F"/>
    <w:rsid w:val="2EFE3AC4"/>
    <w:rsid w:val="2F0541A6"/>
    <w:rsid w:val="2F057C99"/>
    <w:rsid w:val="2F073645"/>
    <w:rsid w:val="2F0D6753"/>
    <w:rsid w:val="2F0F7940"/>
    <w:rsid w:val="2F1018F3"/>
    <w:rsid w:val="2F1405B3"/>
    <w:rsid w:val="2F141D74"/>
    <w:rsid w:val="2F154307"/>
    <w:rsid w:val="2F186C76"/>
    <w:rsid w:val="2F22051D"/>
    <w:rsid w:val="2F230191"/>
    <w:rsid w:val="2F261713"/>
    <w:rsid w:val="2F27241A"/>
    <w:rsid w:val="2F285092"/>
    <w:rsid w:val="2F2A538F"/>
    <w:rsid w:val="2F2C5D09"/>
    <w:rsid w:val="2F2F2FBB"/>
    <w:rsid w:val="2F3D200F"/>
    <w:rsid w:val="2F402D6C"/>
    <w:rsid w:val="2F423C6B"/>
    <w:rsid w:val="2F4457D7"/>
    <w:rsid w:val="2F4575D0"/>
    <w:rsid w:val="2F494BC9"/>
    <w:rsid w:val="2F4E31E9"/>
    <w:rsid w:val="2F4E4C44"/>
    <w:rsid w:val="2F4F0F17"/>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037D4"/>
    <w:rsid w:val="2FB113E5"/>
    <w:rsid w:val="2FB54744"/>
    <w:rsid w:val="2FBA2734"/>
    <w:rsid w:val="2FC70CB8"/>
    <w:rsid w:val="2FCA1C72"/>
    <w:rsid w:val="2FCA5887"/>
    <w:rsid w:val="2FCB0E21"/>
    <w:rsid w:val="2FCC3374"/>
    <w:rsid w:val="2FCD238F"/>
    <w:rsid w:val="2FCF3946"/>
    <w:rsid w:val="2FD73D5F"/>
    <w:rsid w:val="2FDF68B6"/>
    <w:rsid w:val="2FE424EB"/>
    <w:rsid w:val="2FE465CC"/>
    <w:rsid w:val="2FEA0C32"/>
    <w:rsid w:val="2FEB2416"/>
    <w:rsid w:val="2FED56B0"/>
    <w:rsid w:val="2FF657DC"/>
    <w:rsid w:val="2FFA4EB6"/>
    <w:rsid w:val="300E5103"/>
    <w:rsid w:val="30132A83"/>
    <w:rsid w:val="30195389"/>
    <w:rsid w:val="30220483"/>
    <w:rsid w:val="30243ECE"/>
    <w:rsid w:val="302E2308"/>
    <w:rsid w:val="3036574D"/>
    <w:rsid w:val="303A40DD"/>
    <w:rsid w:val="304173D0"/>
    <w:rsid w:val="30442620"/>
    <w:rsid w:val="304704BF"/>
    <w:rsid w:val="304B6BB7"/>
    <w:rsid w:val="304C4503"/>
    <w:rsid w:val="30526AC1"/>
    <w:rsid w:val="30530FD9"/>
    <w:rsid w:val="3054190C"/>
    <w:rsid w:val="305568C5"/>
    <w:rsid w:val="305D124C"/>
    <w:rsid w:val="305D3CBC"/>
    <w:rsid w:val="30661C52"/>
    <w:rsid w:val="306E1EF1"/>
    <w:rsid w:val="306E6922"/>
    <w:rsid w:val="30711D37"/>
    <w:rsid w:val="30781681"/>
    <w:rsid w:val="307E419C"/>
    <w:rsid w:val="308422C2"/>
    <w:rsid w:val="30905E77"/>
    <w:rsid w:val="30910176"/>
    <w:rsid w:val="30937C69"/>
    <w:rsid w:val="309444DE"/>
    <w:rsid w:val="309C2E98"/>
    <w:rsid w:val="309D2147"/>
    <w:rsid w:val="30A32DA7"/>
    <w:rsid w:val="30A85C99"/>
    <w:rsid w:val="30AA4130"/>
    <w:rsid w:val="30AB47C5"/>
    <w:rsid w:val="30B13168"/>
    <w:rsid w:val="30B7355D"/>
    <w:rsid w:val="30C20F76"/>
    <w:rsid w:val="30C66D08"/>
    <w:rsid w:val="30CC6CB0"/>
    <w:rsid w:val="30D52607"/>
    <w:rsid w:val="30D914CE"/>
    <w:rsid w:val="30DD5BC9"/>
    <w:rsid w:val="30E31EEB"/>
    <w:rsid w:val="30E64CA0"/>
    <w:rsid w:val="30EC6AD9"/>
    <w:rsid w:val="30ED7025"/>
    <w:rsid w:val="30EE6C60"/>
    <w:rsid w:val="30F653E9"/>
    <w:rsid w:val="31081AAA"/>
    <w:rsid w:val="3112474F"/>
    <w:rsid w:val="3114313D"/>
    <w:rsid w:val="311C7FAB"/>
    <w:rsid w:val="311F0D23"/>
    <w:rsid w:val="31231685"/>
    <w:rsid w:val="3125095B"/>
    <w:rsid w:val="31371B54"/>
    <w:rsid w:val="31383F5C"/>
    <w:rsid w:val="31394B19"/>
    <w:rsid w:val="313C0C23"/>
    <w:rsid w:val="313C77CB"/>
    <w:rsid w:val="313F32EB"/>
    <w:rsid w:val="31406B5D"/>
    <w:rsid w:val="31420A94"/>
    <w:rsid w:val="3143039E"/>
    <w:rsid w:val="314673FF"/>
    <w:rsid w:val="314D1699"/>
    <w:rsid w:val="31506A7C"/>
    <w:rsid w:val="31544FB1"/>
    <w:rsid w:val="31571977"/>
    <w:rsid w:val="31571C78"/>
    <w:rsid w:val="315B073A"/>
    <w:rsid w:val="315C54FC"/>
    <w:rsid w:val="31647F94"/>
    <w:rsid w:val="317070F5"/>
    <w:rsid w:val="31723FFB"/>
    <w:rsid w:val="31750FCD"/>
    <w:rsid w:val="3179366A"/>
    <w:rsid w:val="317A104A"/>
    <w:rsid w:val="317F3FBE"/>
    <w:rsid w:val="31825FC2"/>
    <w:rsid w:val="31846EA4"/>
    <w:rsid w:val="31854832"/>
    <w:rsid w:val="31884274"/>
    <w:rsid w:val="318949FD"/>
    <w:rsid w:val="318B0F4D"/>
    <w:rsid w:val="318E5084"/>
    <w:rsid w:val="318E6312"/>
    <w:rsid w:val="31913100"/>
    <w:rsid w:val="31973AF5"/>
    <w:rsid w:val="319B2E7D"/>
    <w:rsid w:val="31AD726B"/>
    <w:rsid w:val="31AF5A33"/>
    <w:rsid w:val="31B17FEA"/>
    <w:rsid w:val="31B76813"/>
    <w:rsid w:val="31C0715C"/>
    <w:rsid w:val="31C14F32"/>
    <w:rsid w:val="31C62574"/>
    <w:rsid w:val="31CB3016"/>
    <w:rsid w:val="31CC401D"/>
    <w:rsid w:val="31CE6F3E"/>
    <w:rsid w:val="31D51C36"/>
    <w:rsid w:val="31D540D9"/>
    <w:rsid w:val="31E21D69"/>
    <w:rsid w:val="31E52C31"/>
    <w:rsid w:val="31E76A1E"/>
    <w:rsid w:val="31E83EAB"/>
    <w:rsid w:val="31EE7E78"/>
    <w:rsid w:val="31F97DDD"/>
    <w:rsid w:val="31FD1030"/>
    <w:rsid w:val="32001F8B"/>
    <w:rsid w:val="32044B56"/>
    <w:rsid w:val="320B5911"/>
    <w:rsid w:val="320C1AB7"/>
    <w:rsid w:val="3217684D"/>
    <w:rsid w:val="321C63D7"/>
    <w:rsid w:val="321F3F88"/>
    <w:rsid w:val="3221279F"/>
    <w:rsid w:val="32247BF9"/>
    <w:rsid w:val="32255778"/>
    <w:rsid w:val="32312593"/>
    <w:rsid w:val="323159FD"/>
    <w:rsid w:val="32345AB7"/>
    <w:rsid w:val="323716E7"/>
    <w:rsid w:val="323E67E3"/>
    <w:rsid w:val="324252A3"/>
    <w:rsid w:val="32484AB1"/>
    <w:rsid w:val="324A0310"/>
    <w:rsid w:val="324F7E77"/>
    <w:rsid w:val="32524AFD"/>
    <w:rsid w:val="32530870"/>
    <w:rsid w:val="325900F4"/>
    <w:rsid w:val="325A0237"/>
    <w:rsid w:val="325A2A41"/>
    <w:rsid w:val="325C155E"/>
    <w:rsid w:val="325E2BBD"/>
    <w:rsid w:val="32603716"/>
    <w:rsid w:val="32667CE0"/>
    <w:rsid w:val="326B5802"/>
    <w:rsid w:val="326C6CF3"/>
    <w:rsid w:val="32732916"/>
    <w:rsid w:val="32774D8E"/>
    <w:rsid w:val="3279408A"/>
    <w:rsid w:val="327C3D6F"/>
    <w:rsid w:val="327E4D99"/>
    <w:rsid w:val="328D3719"/>
    <w:rsid w:val="32A67B6D"/>
    <w:rsid w:val="32A67BA6"/>
    <w:rsid w:val="32AF69B0"/>
    <w:rsid w:val="32B21E52"/>
    <w:rsid w:val="32B30DFB"/>
    <w:rsid w:val="32BA0F20"/>
    <w:rsid w:val="32BB58A2"/>
    <w:rsid w:val="32BD2699"/>
    <w:rsid w:val="32C018D2"/>
    <w:rsid w:val="32C81855"/>
    <w:rsid w:val="32CA675E"/>
    <w:rsid w:val="32CF3BEC"/>
    <w:rsid w:val="32D01C77"/>
    <w:rsid w:val="32DA762A"/>
    <w:rsid w:val="32DC5131"/>
    <w:rsid w:val="32E11FD3"/>
    <w:rsid w:val="32E43AE4"/>
    <w:rsid w:val="32E57CF6"/>
    <w:rsid w:val="32EF347D"/>
    <w:rsid w:val="32F1440B"/>
    <w:rsid w:val="32F33D8A"/>
    <w:rsid w:val="32F35977"/>
    <w:rsid w:val="32F71AD7"/>
    <w:rsid w:val="32FC4B7D"/>
    <w:rsid w:val="33091E8F"/>
    <w:rsid w:val="33120FD6"/>
    <w:rsid w:val="3317644F"/>
    <w:rsid w:val="33196816"/>
    <w:rsid w:val="331B364A"/>
    <w:rsid w:val="33201A19"/>
    <w:rsid w:val="33206424"/>
    <w:rsid w:val="333702E1"/>
    <w:rsid w:val="33371942"/>
    <w:rsid w:val="333A1999"/>
    <w:rsid w:val="33403AD0"/>
    <w:rsid w:val="334324D3"/>
    <w:rsid w:val="334E1283"/>
    <w:rsid w:val="334E71AC"/>
    <w:rsid w:val="33516F0A"/>
    <w:rsid w:val="33557FE0"/>
    <w:rsid w:val="3359556A"/>
    <w:rsid w:val="335B1FC8"/>
    <w:rsid w:val="33601403"/>
    <w:rsid w:val="3369354A"/>
    <w:rsid w:val="336A45E2"/>
    <w:rsid w:val="336C2E3E"/>
    <w:rsid w:val="3373347A"/>
    <w:rsid w:val="33742DCE"/>
    <w:rsid w:val="3380076E"/>
    <w:rsid w:val="33842139"/>
    <w:rsid w:val="33975AE0"/>
    <w:rsid w:val="339A4201"/>
    <w:rsid w:val="339F0C62"/>
    <w:rsid w:val="33AA3EDC"/>
    <w:rsid w:val="33AF0B34"/>
    <w:rsid w:val="33B3256A"/>
    <w:rsid w:val="33B94573"/>
    <w:rsid w:val="33BC1F56"/>
    <w:rsid w:val="33C748AE"/>
    <w:rsid w:val="33C75909"/>
    <w:rsid w:val="33CC3A8B"/>
    <w:rsid w:val="33CE2B98"/>
    <w:rsid w:val="33D62E30"/>
    <w:rsid w:val="33DA7799"/>
    <w:rsid w:val="33DB47C4"/>
    <w:rsid w:val="33DF593B"/>
    <w:rsid w:val="33E64517"/>
    <w:rsid w:val="33E70260"/>
    <w:rsid w:val="33EB5F44"/>
    <w:rsid w:val="33EF3DF2"/>
    <w:rsid w:val="33F2456A"/>
    <w:rsid w:val="33FA572B"/>
    <w:rsid w:val="3403379A"/>
    <w:rsid w:val="34073C1D"/>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2226C"/>
    <w:rsid w:val="346A1BB2"/>
    <w:rsid w:val="346E738B"/>
    <w:rsid w:val="34785CD4"/>
    <w:rsid w:val="347875C9"/>
    <w:rsid w:val="347B0E37"/>
    <w:rsid w:val="347D1349"/>
    <w:rsid w:val="347F046C"/>
    <w:rsid w:val="34834A93"/>
    <w:rsid w:val="34874A0D"/>
    <w:rsid w:val="348A7E6B"/>
    <w:rsid w:val="349A1CDD"/>
    <w:rsid w:val="349C27BA"/>
    <w:rsid w:val="34A14FAB"/>
    <w:rsid w:val="34A46ADA"/>
    <w:rsid w:val="34A723E9"/>
    <w:rsid w:val="34A86EFC"/>
    <w:rsid w:val="34B2523D"/>
    <w:rsid w:val="34B358E1"/>
    <w:rsid w:val="34B60803"/>
    <w:rsid w:val="34B72433"/>
    <w:rsid w:val="34B967A5"/>
    <w:rsid w:val="34C037F6"/>
    <w:rsid w:val="34CC14A4"/>
    <w:rsid w:val="34CF701B"/>
    <w:rsid w:val="34D315B0"/>
    <w:rsid w:val="34E86316"/>
    <w:rsid w:val="34EE3576"/>
    <w:rsid w:val="34F17EC9"/>
    <w:rsid w:val="34FA344D"/>
    <w:rsid w:val="34FA42B7"/>
    <w:rsid w:val="34FF7FD7"/>
    <w:rsid w:val="35017F79"/>
    <w:rsid w:val="35041BFF"/>
    <w:rsid w:val="350C4C89"/>
    <w:rsid w:val="351E7FCA"/>
    <w:rsid w:val="351F04F0"/>
    <w:rsid w:val="351F2311"/>
    <w:rsid w:val="351F7E03"/>
    <w:rsid w:val="35206711"/>
    <w:rsid w:val="352612FC"/>
    <w:rsid w:val="352D1F24"/>
    <w:rsid w:val="352D7415"/>
    <w:rsid w:val="3531792A"/>
    <w:rsid w:val="35450042"/>
    <w:rsid w:val="354F0611"/>
    <w:rsid w:val="35503194"/>
    <w:rsid w:val="3552267E"/>
    <w:rsid w:val="35580193"/>
    <w:rsid w:val="355A5E02"/>
    <w:rsid w:val="356276AD"/>
    <w:rsid w:val="35675BE6"/>
    <w:rsid w:val="356B5ADC"/>
    <w:rsid w:val="357706DE"/>
    <w:rsid w:val="35856351"/>
    <w:rsid w:val="358D4F45"/>
    <w:rsid w:val="35940857"/>
    <w:rsid w:val="35955E66"/>
    <w:rsid w:val="3595612F"/>
    <w:rsid w:val="35A444A3"/>
    <w:rsid w:val="35A84558"/>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672BE"/>
    <w:rsid w:val="35E73D07"/>
    <w:rsid w:val="35E910C0"/>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C631E"/>
    <w:rsid w:val="361E5F79"/>
    <w:rsid w:val="361F0B5A"/>
    <w:rsid w:val="36255FE7"/>
    <w:rsid w:val="362F44EC"/>
    <w:rsid w:val="363139D2"/>
    <w:rsid w:val="36380784"/>
    <w:rsid w:val="363A6D22"/>
    <w:rsid w:val="365C692E"/>
    <w:rsid w:val="3664672E"/>
    <w:rsid w:val="36684B85"/>
    <w:rsid w:val="36694323"/>
    <w:rsid w:val="367A12DB"/>
    <w:rsid w:val="36847D86"/>
    <w:rsid w:val="36871919"/>
    <w:rsid w:val="368D0336"/>
    <w:rsid w:val="36993AD8"/>
    <w:rsid w:val="369C1413"/>
    <w:rsid w:val="369E16D7"/>
    <w:rsid w:val="36A03498"/>
    <w:rsid w:val="36A11F1D"/>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1D00E6"/>
    <w:rsid w:val="37287D74"/>
    <w:rsid w:val="372A6F83"/>
    <w:rsid w:val="372F0142"/>
    <w:rsid w:val="37322ACA"/>
    <w:rsid w:val="373329D5"/>
    <w:rsid w:val="373A5B89"/>
    <w:rsid w:val="373C0861"/>
    <w:rsid w:val="373C0D3C"/>
    <w:rsid w:val="3740200E"/>
    <w:rsid w:val="37427545"/>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16CEE"/>
    <w:rsid w:val="3793144B"/>
    <w:rsid w:val="379C4E5B"/>
    <w:rsid w:val="37A24258"/>
    <w:rsid w:val="37A867E7"/>
    <w:rsid w:val="37AB5815"/>
    <w:rsid w:val="37AE1486"/>
    <w:rsid w:val="37AE3B96"/>
    <w:rsid w:val="37AE3FC6"/>
    <w:rsid w:val="37AE5261"/>
    <w:rsid w:val="37B22D58"/>
    <w:rsid w:val="37B3204B"/>
    <w:rsid w:val="37B47A67"/>
    <w:rsid w:val="37B532ED"/>
    <w:rsid w:val="37B95AF7"/>
    <w:rsid w:val="37BC1250"/>
    <w:rsid w:val="37C069DE"/>
    <w:rsid w:val="37C13ADD"/>
    <w:rsid w:val="37C37873"/>
    <w:rsid w:val="37C615E0"/>
    <w:rsid w:val="37C64010"/>
    <w:rsid w:val="37CA282F"/>
    <w:rsid w:val="37CB1389"/>
    <w:rsid w:val="37D005B2"/>
    <w:rsid w:val="37DB3239"/>
    <w:rsid w:val="37DB6C63"/>
    <w:rsid w:val="37DC1D8E"/>
    <w:rsid w:val="37DE1511"/>
    <w:rsid w:val="37E55573"/>
    <w:rsid w:val="37E65A28"/>
    <w:rsid w:val="37EB49EA"/>
    <w:rsid w:val="37F6698B"/>
    <w:rsid w:val="37F8564D"/>
    <w:rsid w:val="38084B1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4FD"/>
    <w:rsid w:val="38D71A00"/>
    <w:rsid w:val="38D83DA4"/>
    <w:rsid w:val="38D97BB5"/>
    <w:rsid w:val="38DC7A1B"/>
    <w:rsid w:val="38DD06D2"/>
    <w:rsid w:val="38E4037F"/>
    <w:rsid w:val="38E45C59"/>
    <w:rsid w:val="38E94D65"/>
    <w:rsid w:val="38F35FC8"/>
    <w:rsid w:val="38F73A4C"/>
    <w:rsid w:val="38F904F0"/>
    <w:rsid w:val="38FC70E7"/>
    <w:rsid w:val="390429EC"/>
    <w:rsid w:val="390E729C"/>
    <w:rsid w:val="39123E52"/>
    <w:rsid w:val="39126A08"/>
    <w:rsid w:val="391709C1"/>
    <w:rsid w:val="391F1FF5"/>
    <w:rsid w:val="39231158"/>
    <w:rsid w:val="392B6C66"/>
    <w:rsid w:val="39341084"/>
    <w:rsid w:val="393E07AB"/>
    <w:rsid w:val="393E293F"/>
    <w:rsid w:val="394E5050"/>
    <w:rsid w:val="39506734"/>
    <w:rsid w:val="395A6D19"/>
    <w:rsid w:val="395D0E21"/>
    <w:rsid w:val="39623B52"/>
    <w:rsid w:val="397061BB"/>
    <w:rsid w:val="397319FF"/>
    <w:rsid w:val="39731B12"/>
    <w:rsid w:val="39761C84"/>
    <w:rsid w:val="39765E70"/>
    <w:rsid w:val="39774BBD"/>
    <w:rsid w:val="39847EB1"/>
    <w:rsid w:val="398704BB"/>
    <w:rsid w:val="39882427"/>
    <w:rsid w:val="39926717"/>
    <w:rsid w:val="39970953"/>
    <w:rsid w:val="399E1C0B"/>
    <w:rsid w:val="39A21811"/>
    <w:rsid w:val="39A4022E"/>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9FA4160"/>
    <w:rsid w:val="3A001D3B"/>
    <w:rsid w:val="3A016BF0"/>
    <w:rsid w:val="3A0B5E9C"/>
    <w:rsid w:val="3A0C1916"/>
    <w:rsid w:val="3A191E0E"/>
    <w:rsid w:val="3A1C597D"/>
    <w:rsid w:val="3A1C71BF"/>
    <w:rsid w:val="3A2C3BA6"/>
    <w:rsid w:val="3A2E3AF5"/>
    <w:rsid w:val="3A3539DC"/>
    <w:rsid w:val="3A3D4D53"/>
    <w:rsid w:val="3A4C45A1"/>
    <w:rsid w:val="3A544F6C"/>
    <w:rsid w:val="3A577ADC"/>
    <w:rsid w:val="3A5914F9"/>
    <w:rsid w:val="3A5F3F5A"/>
    <w:rsid w:val="3A6D66ED"/>
    <w:rsid w:val="3A7116FC"/>
    <w:rsid w:val="3A736A4A"/>
    <w:rsid w:val="3A76541F"/>
    <w:rsid w:val="3A7D75EF"/>
    <w:rsid w:val="3A881F93"/>
    <w:rsid w:val="3A8B176E"/>
    <w:rsid w:val="3A8D11CC"/>
    <w:rsid w:val="3A977393"/>
    <w:rsid w:val="3A9A07D3"/>
    <w:rsid w:val="3A9C50AA"/>
    <w:rsid w:val="3AA312D0"/>
    <w:rsid w:val="3AAF36AE"/>
    <w:rsid w:val="3AB06715"/>
    <w:rsid w:val="3AB3042E"/>
    <w:rsid w:val="3ABD068E"/>
    <w:rsid w:val="3AC351F1"/>
    <w:rsid w:val="3AC91008"/>
    <w:rsid w:val="3ACB36E9"/>
    <w:rsid w:val="3ACB7871"/>
    <w:rsid w:val="3ACE6056"/>
    <w:rsid w:val="3AD028B4"/>
    <w:rsid w:val="3AD34546"/>
    <w:rsid w:val="3AD847A7"/>
    <w:rsid w:val="3ADA3867"/>
    <w:rsid w:val="3AE15E3F"/>
    <w:rsid w:val="3AE16B53"/>
    <w:rsid w:val="3AEC72C2"/>
    <w:rsid w:val="3AEF76B1"/>
    <w:rsid w:val="3AF27012"/>
    <w:rsid w:val="3B0114CC"/>
    <w:rsid w:val="3B0476DE"/>
    <w:rsid w:val="3B050C15"/>
    <w:rsid w:val="3B1055B6"/>
    <w:rsid w:val="3B112207"/>
    <w:rsid w:val="3B112F57"/>
    <w:rsid w:val="3B150877"/>
    <w:rsid w:val="3B177760"/>
    <w:rsid w:val="3B1B5ED1"/>
    <w:rsid w:val="3B1C6939"/>
    <w:rsid w:val="3B1D2D24"/>
    <w:rsid w:val="3B1E3124"/>
    <w:rsid w:val="3B1F4910"/>
    <w:rsid w:val="3B237FE2"/>
    <w:rsid w:val="3B257B7C"/>
    <w:rsid w:val="3B2E4EF4"/>
    <w:rsid w:val="3B3159A2"/>
    <w:rsid w:val="3B415600"/>
    <w:rsid w:val="3B452280"/>
    <w:rsid w:val="3B4B4611"/>
    <w:rsid w:val="3B555758"/>
    <w:rsid w:val="3B556447"/>
    <w:rsid w:val="3B59157A"/>
    <w:rsid w:val="3B5A461E"/>
    <w:rsid w:val="3B5D028A"/>
    <w:rsid w:val="3B6D0581"/>
    <w:rsid w:val="3B6E1A34"/>
    <w:rsid w:val="3B7A5CB5"/>
    <w:rsid w:val="3B7B36A3"/>
    <w:rsid w:val="3B846B42"/>
    <w:rsid w:val="3B8535DD"/>
    <w:rsid w:val="3B87218D"/>
    <w:rsid w:val="3B8A0FE3"/>
    <w:rsid w:val="3B8A6F65"/>
    <w:rsid w:val="3B8B274A"/>
    <w:rsid w:val="3B8B3071"/>
    <w:rsid w:val="3B90223A"/>
    <w:rsid w:val="3BA23EEE"/>
    <w:rsid w:val="3BA866BF"/>
    <w:rsid w:val="3BAE4D98"/>
    <w:rsid w:val="3BAF70D0"/>
    <w:rsid w:val="3BB438AE"/>
    <w:rsid w:val="3BB67C98"/>
    <w:rsid w:val="3BBD3102"/>
    <w:rsid w:val="3BC16595"/>
    <w:rsid w:val="3BC21EE9"/>
    <w:rsid w:val="3BC52358"/>
    <w:rsid w:val="3BD0784F"/>
    <w:rsid w:val="3BD42567"/>
    <w:rsid w:val="3BD82617"/>
    <w:rsid w:val="3BDB327D"/>
    <w:rsid w:val="3BE6069B"/>
    <w:rsid w:val="3BE910A1"/>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5687F"/>
    <w:rsid w:val="3C57382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141A"/>
    <w:rsid w:val="3CBE3F34"/>
    <w:rsid w:val="3CBE6E62"/>
    <w:rsid w:val="3CC06070"/>
    <w:rsid w:val="3CC34AC5"/>
    <w:rsid w:val="3CC433D7"/>
    <w:rsid w:val="3CC5486A"/>
    <w:rsid w:val="3CC9197E"/>
    <w:rsid w:val="3CCB1797"/>
    <w:rsid w:val="3CCC7524"/>
    <w:rsid w:val="3CD81277"/>
    <w:rsid w:val="3CD927D3"/>
    <w:rsid w:val="3CDC73D2"/>
    <w:rsid w:val="3CDD19EF"/>
    <w:rsid w:val="3CE03540"/>
    <w:rsid w:val="3CE35325"/>
    <w:rsid w:val="3CF012B5"/>
    <w:rsid w:val="3CF10224"/>
    <w:rsid w:val="3CF80D73"/>
    <w:rsid w:val="3D03717F"/>
    <w:rsid w:val="3D05649D"/>
    <w:rsid w:val="3D0E2650"/>
    <w:rsid w:val="3D0E7B96"/>
    <w:rsid w:val="3D125375"/>
    <w:rsid w:val="3D2558DA"/>
    <w:rsid w:val="3D2D70F2"/>
    <w:rsid w:val="3D2E57FB"/>
    <w:rsid w:val="3D311766"/>
    <w:rsid w:val="3D31514E"/>
    <w:rsid w:val="3D344D4E"/>
    <w:rsid w:val="3D433BE3"/>
    <w:rsid w:val="3D4410E3"/>
    <w:rsid w:val="3D4F1820"/>
    <w:rsid w:val="3D505E2B"/>
    <w:rsid w:val="3D54620E"/>
    <w:rsid w:val="3D5D13B1"/>
    <w:rsid w:val="3D6C2810"/>
    <w:rsid w:val="3D6E7928"/>
    <w:rsid w:val="3D744E32"/>
    <w:rsid w:val="3D7709E7"/>
    <w:rsid w:val="3D7845E4"/>
    <w:rsid w:val="3D7A0B27"/>
    <w:rsid w:val="3D7D024E"/>
    <w:rsid w:val="3D806AC3"/>
    <w:rsid w:val="3D8438BD"/>
    <w:rsid w:val="3D8B02DF"/>
    <w:rsid w:val="3D9E5E72"/>
    <w:rsid w:val="3DA009B3"/>
    <w:rsid w:val="3DA009CC"/>
    <w:rsid w:val="3DA13551"/>
    <w:rsid w:val="3DA3195E"/>
    <w:rsid w:val="3DA54FB2"/>
    <w:rsid w:val="3DA5644E"/>
    <w:rsid w:val="3DB6531E"/>
    <w:rsid w:val="3DB72CDE"/>
    <w:rsid w:val="3DB9249A"/>
    <w:rsid w:val="3DBC3CE2"/>
    <w:rsid w:val="3DC118EF"/>
    <w:rsid w:val="3DCE0A89"/>
    <w:rsid w:val="3DCE671C"/>
    <w:rsid w:val="3DD02B71"/>
    <w:rsid w:val="3DD10E6B"/>
    <w:rsid w:val="3DDB2B21"/>
    <w:rsid w:val="3DDF215F"/>
    <w:rsid w:val="3DE107A0"/>
    <w:rsid w:val="3DE21CE1"/>
    <w:rsid w:val="3DE67BD3"/>
    <w:rsid w:val="3DF145BF"/>
    <w:rsid w:val="3DF35996"/>
    <w:rsid w:val="3DF6113A"/>
    <w:rsid w:val="3DF612A2"/>
    <w:rsid w:val="3DF70567"/>
    <w:rsid w:val="3DFC1272"/>
    <w:rsid w:val="3E0328BF"/>
    <w:rsid w:val="3E0F1CFB"/>
    <w:rsid w:val="3E111D45"/>
    <w:rsid w:val="3E1565B5"/>
    <w:rsid w:val="3E1B0CF6"/>
    <w:rsid w:val="3E1B763A"/>
    <w:rsid w:val="3E1D490C"/>
    <w:rsid w:val="3E1F6422"/>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CF53DA"/>
    <w:rsid w:val="3ED06C6B"/>
    <w:rsid w:val="3ED8339A"/>
    <w:rsid w:val="3EE458A4"/>
    <w:rsid w:val="3EF076C8"/>
    <w:rsid w:val="3EF27B82"/>
    <w:rsid w:val="3EF42362"/>
    <w:rsid w:val="3EF66E9E"/>
    <w:rsid w:val="3EF818EE"/>
    <w:rsid w:val="3EF9253B"/>
    <w:rsid w:val="3EFD78BA"/>
    <w:rsid w:val="3F076C62"/>
    <w:rsid w:val="3F0D0365"/>
    <w:rsid w:val="3F0E18F3"/>
    <w:rsid w:val="3F103C5E"/>
    <w:rsid w:val="3F117991"/>
    <w:rsid w:val="3F146165"/>
    <w:rsid w:val="3F17316C"/>
    <w:rsid w:val="3F1B0C01"/>
    <w:rsid w:val="3F1C4EE6"/>
    <w:rsid w:val="3F1D37CF"/>
    <w:rsid w:val="3F210B8F"/>
    <w:rsid w:val="3F213BD8"/>
    <w:rsid w:val="3F2228BB"/>
    <w:rsid w:val="3F226825"/>
    <w:rsid w:val="3F2A5507"/>
    <w:rsid w:val="3F2C65EA"/>
    <w:rsid w:val="3F3477A8"/>
    <w:rsid w:val="3F3B6E0A"/>
    <w:rsid w:val="3F3F1578"/>
    <w:rsid w:val="3F484DDE"/>
    <w:rsid w:val="3F495688"/>
    <w:rsid w:val="3F505F3F"/>
    <w:rsid w:val="3F5756A6"/>
    <w:rsid w:val="3F575CF6"/>
    <w:rsid w:val="3F5954A7"/>
    <w:rsid w:val="3F5B1636"/>
    <w:rsid w:val="3F6249EF"/>
    <w:rsid w:val="3F681588"/>
    <w:rsid w:val="3F6A75F8"/>
    <w:rsid w:val="3F6B633E"/>
    <w:rsid w:val="3F6E46A4"/>
    <w:rsid w:val="3F795109"/>
    <w:rsid w:val="3F7C3B05"/>
    <w:rsid w:val="3F863A07"/>
    <w:rsid w:val="3F8714A0"/>
    <w:rsid w:val="3F88589C"/>
    <w:rsid w:val="3F8B0FF0"/>
    <w:rsid w:val="3F8D3639"/>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45D31"/>
    <w:rsid w:val="3FFB7550"/>
    <w:rsid w:val="3FFF6A7C"/>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B3C67"/>
    <w:rsid w:val="405C46EC"/>
    <w:rsid w:val="405C4E3B"/>
    <w:rsid w:val="40770AC9"/>
    <w:rsid w:val="40777B57"/>
    <w:rsid w:val="40791E0C"/>
    <w:rsid w:val="407B5438"/>
    <w:rsid w:val="407D7B0B"/>
    <w:rsid w:val="408550F0"/>
    <w:rsid w:val="408A4409"/>
    <w:rsid w:val="408F04FF"/>
    <w:rsid w:val="40933A21"/>
    <w:rsid w:val="40953B65"/>
    <w:rsid w:val="409A137C"/>
    <w:rsid w:val="40A34B97"/>
    <w:rsid w:val="40A56CD8"/>
    <w:rsid w:val="40A62CBC"/>
    <w:rsid w:val="40A74477"/>
    <w:rsid w:val="40A75108"/>
    <w:rsid w:val="40AB14CD"/>
    <w:rsid w:val="40AD3B25"/>
    <w:rsid w:val="40AF577A"/>
    <w:rsid w:val="40B52843"/>
    <w:rsid w:val="40B62E81"/>
    <w:rsid w:val="40B8270B"/>
    <w:rsid w:val="40C45878"/>
    <w:rsid w:val="40C4645B"/>
    <w:rsid w:val="40C5600E"/>
    <w:rsid w:val="40D31762"/>
    <w:rsid w:val="40D42663"/>
    <w:rsid w:val="40D52670"/>
    <w:rsid w:val="40DB5285"/>
    <w:rsid w:val="40DC200C"/>
    <w:rsid w:val="40E75767"/>
    <w:rsid w:val="40E8328F"/>
    <w:rsid w:val="40E94E3D"/>
    <w:rsid w:val="40F31A37"/>
    <w:rsid w:val="410419ED"/>
    <w:rsid w:val="410727A8"/>
    <w:rsid w:val="410E1F87"/>
    <w:rsid w:val="410E261A"/>
    <w:rsid w:val="410F7AAD"/>
    <w:rsid w:val="411557D9"/>
    <w:rsid w:val="41175358"/>
    <w:rsid w:val="411811D5"/>
    <w:rsid w:val="412069C4"/>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442D8"/>
    <w:rsid w:val="416C1A09"/>
    <w:rsid w:val="416D169B"/>
    <w:rsid w:val="41763955"/>
    <w:rsid w:val="417769F6"/>
    <w:rsid w:val="41803DA8"/>
    <w:rsid w:val="418631C6"/>
    <w:rsid w:val="41872ED0"/>
    <w:rsid w:val="41953FEF"/>
    <w:rsid w:val="41974E8B"/>
    <w:rsid w:val="419C26DC"/>
    <w:rsid w:val="419D0870"/>
    <w:rsid w:val="419D129A"/>
    <w:rsid w:val="419E1A88"/>
    <w:rsid w:val="41A04B67"/>
    <w:rsid w:val="41A10A9B"/>
    <w:rsid w:val="41A36290"/>
    <w:rsid w:val="41A4134F"/>
    <w:rsid w:val="41A8083F"/>
    <w:rsid w:val="41AF65DD"/>
    <w:rsid w:val="41B10164"/>
    <w:rsid w:val="41BB3C07"/>
    <w:rsid w:val="41BE631A"/>
    <w:rsid w:val="41C34B5E"/>
    <w:rsid w:val="41C36863"/>
    <w:rsid w:val="41C52310"/>
    <w:rsid w:val="41CC3FBF"/>
    <w:rsid w:val="41CE5F9C"/>
    <w:rsid w:val="41D66E7D"/>
    <w:rsid w:val="41DC21AD"/>
    <w:rsid w:val="41DC48D7"/>
    <w:rsid w:val="41E76E0D"/>
    <w:rsid w:val="41F4618E"/>
    <w:rsid w:val="41FA376E"/>
    <w:rsid w:val="41FE6CB2"/>
    <w:rsid w:val="420556C8"/>
    <w:rsid w:val="4214720F"/>
    <w:rsid w:val="4217488D"/>
    <w:rsid w:val="421D7B36"/>
    <w:rsid w:val="422345EF"/>
    <w:rsid w:val="42240668"/>
    <w:rsid w:val="4226137B"/>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82BA6"/>
    <w:rsid w:val="429A3DA7"/>
    <w:rsid w:val="429F313B"/>
    <w:rsid w:val="429F6653"/>
    <w:rsid w:val="42A874B7"/>
    <w:rsid w:val="42AC06F3"/>
    <w:rsid w:val="42B302EA"/>
    <w:rsid w:val="42B61338"/>
    <w:rsid w:val="42B90AAB"/>
    <w:rsid w:val="42C5009E"/>
    <w:rsid w:val="42C92A69"/>
    <w:rsid w:val="42C96A82"/>
    <w:rsid w:val="42CF6EF1"/>
    <w:rsid w:val="42D604C8"/>
    <w:rsid w:val="42D72C00"/>
    <w:rsid w:val="42DE315A"/>
    <w:rsid w:val="42DF35C8"/>
    <w:rsid w:val="42E518DC"/>
    <w:rsid w:val="42E85051"/>
    <w:rsid w:val="42E9081C"/>
    <w:rsid w:val="42EE0EAA"/>
    <w:rsid w:val="42EF0CCD"/>
    <w:rsid w:val="42F1490F"/>
    <w:rsid w:val="42F25520"/>
    <w:rsid w:val="42F73D75"/>
    <w:rsid w:val="430D0405"/>
    <w:rsid w:val="431417E6"/>
    <w:rsid w:val="43206F9C"/>
    <w:rsid w:val="432D3913"/>
    <w:rsid w:val="433429FE"/>
    <w:rsid w:val="4334351A"/>
    <w:rsid w:val="4336642B"/>
    <w:rsid w:val="4338799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F2D42"/>
    <w:rsid w:val="43700CA6"/>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B96B1D"/>
    <w:rsid w:val="43C05A98"/>
    <w:rsid w:val="43C211B7"/>
    <w:rsid w:val="43C71A27"/>
    <w:rsid w:val="43C86C83"/>
    <w:rsid w:val="43C87BDE"/>
    <w:rsid w:val="43C95ED6"/>
    <w:rsid w:val="43CC65EC"/>
    <w:rsid w:val="43D34204"/>
    <w:rsid w:val="43DC6ACC"/>
    <w:rsid w:val="43DD04DA"/>
    <w:rsid w:val="43E232E1"/>
    <w:rsid w:val="43E567A6"/>
    <w:rsid w:val="43F84F4E"/>
    <w:rsid w:val="43FF5CEF"/>
    <w:rsid w:val="44064267"/>
    <w:rsid w:val="440A5B01"/>
    <w:rsid w:val="44124AB7"/>
    <w:rsid w:val="4412613F"/>
    <w:rsid w:val="44165D48"/>
    <w:rsid w:val="441975E2"/>
    <w:rsid w:val="441C42F4"/>
    <w:rsid w:val="441F0817"/>
    <w:rsid w:val="441F3CB6"/>
    <w:rsid w:val="44230F47"/>
    <w:rsid w:val="4426547A"/>
    <w:rsid w:val="442A33F4"/>
    <w:rsid w:val="442F3FA5"/>
    <w:rsid w:val="44302CAB"/>
    <w:rsid w:val="4431690E"/>
    <w:rsid w:val="44320312"/>
    <w:rsid w:val="443827F3"/>
    <w:rsid w:val="443C5290"/>
    <w:rsid w:val="44465D22"/>
    <w:rsid w:val="44574B2B"/>
    <w:rsid w:val="445B2BD5"/>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BD3380"/>
    <w:rsid w:val="44D16803"/>
    <w:rsid w:val="44D65CFD"/>
    <w:rsid w:val="44DC059B"/>
    <w:rsid w:val="44E77519"/>
    <w:rsid w:val="44E91338"/>
    <w:rsid w:val="44E961E2"/>
    <w:rsid w:val="44F4601C"/>
    <w:rsid w:val="44F5322E"/>
    <w:rsid w:val="44F74C0C"/>
    <w:rsid w:val="44F90A00"/>
    <w:rsid w:val="44FB2595"/>
    <w:rsid w:val="450655DE"/>
    <w:rsid w:val="45080466"/>
    <w:rsid w:val="450C4F28"/>
    <w:rsid w:val="452378EF"/>
    <w:rsid w:val="4524750B"/>
    <w:rsid w:val="45286865"/>
    <w:rsid w:val="452B4AF6"/>
    <w:rsid w:val="452B5E55"/>
    <w:rsid w:val="452F2E18"/>
    <w:rsid w:val="4532333B"/>
    <w:rsid w:val="45327B09"/>
    <w:rsid w:val="45380A36"/>
    <w:rsid w:val="4541568B"/>
    <w:rsid w:val="454A79CA"/>
    <w:rsid w:val="454F23C2"/>
    <w:rsid w:val="45500C3F"/>
    <w:rsid w:val="455A0801"/>
    <w:rsid w:val="45691AFB"/>
    <w:rsid w:val="456C4D31"/>
    <w:rsid w:val="456E2A10"/>
    <w:rsid w:val="45743CAB"/>
    <w:rsid w:val="4579584D"/>
    <w:rsid w:val="457E33F2"/>
    <w:rsid w:val="45827A46"/>
    <w:rsid w:val="45832D31"/>
    <w:rsid w:val="45845D00"/>
    <w:rsid w:val="45871AE5"/>
    <w:rsid w:val="45896527"/>
    <w:rsid w:val="458C06D4"/>
    <w:rsid w:val="459709F5"/>
    <w:rsid w:val="459933CD"/>
    <w:rsid w:val="459D66FF"/>
    <w:rsid w:val="459F7C0E"/>
    <w:rsid w:val="45A71D2E"/>
    <w:rsid w:val="45B317CF"/>
    <w:rsid w:val="45B50138"/>
    <w:rsid w:val="45B55619"/>
    <w:rsid w:val="45BC136B"/>
    <w:rsid w:val="45C45E98"/>
    <w:rsid w:val="45CB77B5"/>
    <w:rsid w:val="45CF3D0C"/>
    <w:rsid w:val="45D6540C"/>
    <w:rsid w:val="45D70722"/>
    <w:rsid w:val="45DA00BF"/>
    <w:rsid w:val="45DB0A71"/>
    <w:rsid w:val="45DE7C9F"/>
    <w:rsid w:val="45E87C6B"/>
    <w:rsid w:val="45EB60AB"/>
    <w:rsid w:val="45EE7BAC"/>
    <w:rsid w:val="45F234A5"/>
    <w:rsid w:val="45FA1BEA"/>
    <w:rsid w:val="45FA6491"/>
    <w:rsid w:val="45FC4C31"/>
    <w:rsid w:val="460065CE"/>
    <w:rsid w:val="4601021B"/>
    <w:rsid w:val="46055C3D"/>
    <w:rsid w:val="460B5599"/>
    <w:rsid w:val="461C257D"/>
    <w:rsid w:val="46212468"/>
    <w:rsid w:val="46283117"/>
    <w:rsid w:val="462A5404"/>
    <w:rsid w:val="46353B16"/>
    <w:rsid w:val="463644CA"/>
    <w:rsid w:val="463B1BA0"/>
    <w:rsid w:val="463B2ADE"/>
    <w:rsid w:val="463B613A"/>
    <w:rsid w:val="463F2FC0"/>
    <w:rsid w:val="46515984"/>
    <w:rsid w:val="46532B01"/>
    <w:rsid w:val="46584184"/>
    <w:rsid w:val="4659586D"/>
    <w:rsid w:val="465B6D8A"/>
    <w:rsid w:val="46630636"/>
    <w:rsid w:val="4664264C"/>
    <w:rsid w:val="46687376"/>
    <w:rsid w:val="46696D7B"/>
    <w:rsid w:val="466A0F68"/>
    <w:rsid w:val="4670211B"/>
    <w:rsid w:val="46836D01"/>
    <w:rsid w:val="468431CC"/>
    <w:rsid w:val="46846139"/>
    <w:rsid w:val="468706E8"/>
    <w:rsid w:val="468D2D01"/>
    <w:rsid w:val="46934B28"/>
    <w:rsid w:val="46952F1A"/>
    <w:rsid w:val="46AA0AA6"/>
    <w:rsid w:val="46AA774E"/>
    <w:rsid w:val="46AB3E47"/>
    <w:rsid w:val="46AD5953"/>
    <w:rsid w:val="46B8054D"/>
    <w:rsid w:val="46B861B8"/>
    <w:rsid w:val="46CF0DEB"/>
    <w:rsid w:val="46D4028D"/>
    <w:rsid w:val="46D7105C"/>
    <w:rsid w:val="46DB6A13"/>
    <w:rsid w:val="46DC4EB2"/>
    <w:rsid w:val="46DD5FAF"/>
    <w:rsid w:val="46DE7C78"/>
    <w:rsid w:val="46DF5460"/>
    <w:rsid w:val="46EE6B99"/>
    <w:rsid w:val="46EF4DCE"/>
    <w:rsid w:val="46F14E1C"/>
    <w:rsid w:val="46F46934"/>
    <w:rsid w:val="46F661C8"/>
    <w:rsid w:val="46F72E75"/>
    <w:rsid w:val="46FA0AF3"/>
    <w:rsid w:val="46FA6986"/>
    <w:rsid w:val="46FD13DF"/>
    <w:rsid w:val="46FD6193"/>
    <w:rsid w:val="46FF0DBC"/>
    <w:rsid w:val="47091A3A"/>
    <w:rsid w:val="470A692B"/>
    <w:rsid w:val="470E654E"/>
    <w:rsid w:val="471B736C"/>
    <w:rsid w:val="47235B2C"/>
    <w:rsid w:val="472748E0"/>
    <w:rsid w:val="472E2DEC"/>
    <w:rsid w:val="473026ED"/>
    <w:rsid w:val="47324C7B"/>
    <w:rsid w:val="47353CDE"/>
    <w:rsid w:val="4738492A"/>
    <w:rsid w:val="473916F7"/>
    <w:rsid w:val="473A3AD8"/>
    <w:rsid w:val="4741594F"/>
    <w:rsid w:val="47461A19"/>
    <w:rsid w:val="474937AF"/>
    <w:rsid w:val="474B033A"/>
    <w:rsid w:val="474E3CCE"/>
    <w:rsid w:val="474E6EC0"/>
    <w:rsid w:val="475330F3"/>
    <w:rsid w:val="475A014C"/>
    <w:rsid w:val="475F52A5"/>
    <w:rsid w:val="476555EA"/>
    <w:rsid w:val="476E63C6"/>
    <w:rsid w:val="47701E1E"/>
    <w:rsid w:val="478349BA"/>
    <w:rsid w:val="478D02EE"/>
    <w:rsid w:val="47913274"/>
    <w:rsid w:val="479333F5"/>
    <w:rsid w:val="479615B0"/>
    <w:rsid w:val="47974EBF"/>
    <w:rsid w:val="47984CC8"/>
    <w:rsid w:val="479C0703"/>
    <w:rsid w:val="47A40CC6"/>
    <w:rsid w:val="47A67489"/>
    <w:rsid w:val="47AE368F"/>
    <w:rsid w:val="47BB1F5D"/>
    <w:rsid w:val="47BD7E3A"/>
    <w:rsid w:val="47D72108"/>
    <w:rsid w:val="47D754ED"/>
    <w:rsid w:val="47D76BDC"/>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331A9"/>
    <w:rsid w:val="482A6776"/>
    <w:rsid w:val="482B62CB"/>
    <w:rsid w:val="482E135A"/>
    <w:rsid w:val="48377CE3"/>
    <w:rsid w:val="48393F25"/>
    <w:rsid w:val="48446F23"/>
    <w:rsid w:val="48514411"/>
    <w:rsid w:val="48517833"/>
    <w:rsid w:val="485B1381"/>
    <w:rsid w:val="485D3E6C"/>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CE284C"/>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602C1"/>
    <w:rsid w:val="4969430E"/>
    <w:rsid w:val="496D3F98"/>
    <w:rsid w:val="49704B16"/>
    <w:rsid w:val="49712D93"/>
    <w:rsid w:val="49747B75"/>
    <w:rsid w:val="497C4012"/>
    <w:rsid w:val="49822362"/>
    <w:rsid w:val="49831A30"/>
    <w:rsid w:val="498450C2"/>
    <w:rsid w:val="49856FBD"/>
    <w:rsid w:val="49871D7B"/>
    <w:rsid w:val="49885C59"/>
    <w:rsid w:val="498A257F"/>
    <w:rsid w:val="4995687C"/>
    <w:rsid w:val="4998544E"/>
    <w:rsid w:val="499D4802"/>
    <w:rsid w:val="49A45FDD"/>
    <w:rsid w:val="49A61B96"/>
    <w:rsid w:val="49B20B48"/>
    <w:rsid w:val="49B55D27"/>
    <w:rsid w:val="49B83EAA"/>
    <w:rsid w:val="49C060D9"/>
    <w:rsid w:val="49C67DAB"/>
    <w:rsid w:val="49C7764E"/>
    <w:rsid w:val="49D83A18"/>
    <w:rsid w:val="49D8668C"/>
    <w:rsid w:val="49DB3A45"/>
    <w:rsid w:val="49E73C0B"/>
    <w:rsid w:val="49E92B16"/>
    <w:rsid w:val="49EC1B26"/>
    <w:rsid w:val="49FC7FA2"/>
    <w:rsid w:val="4A017C98"/>
    <w:rsid w:val="4A042139"/>
    <w:rsid w:val="4A080E5C"/>
    <w:rsid w:val="4A1C1EE0"/>
    <w:rsid w:val="4A1D0A93"/>
    <w:rsid w:val="4A210B7E"/>
    <w:rsid w:val="4A2D197A"/>
    <w:rsid w:val="4A334BFC"/>
    <w:rsid w:val="4A335E86"/>
    <w:rsid w:val="4A357040"/>
    <w:rsid w:val="4A3B0DBF"/>
    <w:rsid w:val="4A3C074A"/>
    <w:rsid w:val="4A3C3645"/>
    <w:rsid w:val="4A401246"/>
    <w:rsid w:val="4A417E42"/>
    <w:rsid w:val="4A4A2364"/>
    <w:rsid w:val="4A4A5C96"/>
    <w:rsid w:val="4A4C22EF"/>
    <w:rsid w:val="4A535B24"/>
    <w:rsid w:val="4A545D35"/>
    <w:rsid w:val="4A58603B"/>
    <w:rsid w:val="4A5B7FD1"/>
    <w:rsid w:val="4A672F5C"/>
    <w:rsid w:val="4A682857"/>
    <w:rsid w:val="4A6B5A84"/>
    <w:rsid w:val="4A6C083F"/>
    <w:rsid w:val="4A726BD6"/>
    <w:rsid w:val="4A74295B"/>
    <w:rsid w:val="4A755FA4"/>
    <w:rsid w:val="4A7B6771"/>
    <w:rsid w:val="4A7C187A"/>
    <w:rsid w:val="4A8420AA"/>
    <w:rsid w:val="4A842FB6"/>
    <w:rsid w:val="4A853B44"/>
    <w:rsid w:val="4A89373F"/>
    <w:rsid w:val="4A8E1531"/>
    <w:rsid w:val="4A910C23"/>
    <w:rsid w:val="4A940694"/>
    <w:rsid w:val="4A96477D"/>
    <w:rsid w:val="4A972A70"/>
    <w:rsid w:val="4A974D5B"/>
    <w:rsid w:val="4A997F8F"/>
    <w:rsid w:val="4A9C2DCD"/>
    <w:rsid w:val="4AA05291"/>
    <w:rsid w:val="4AA06888"/>
    <w:rsid w:val="4AA14390"/>
    <w:rsid w:val="4AA22C7D"/>
    <w:rsid w:val="4AAA4B07"/>
    <w:rsid w:val="4AB00A30"/>
    <w:rsid w:val="4ABA7F00"/>
    <w:rsid w:val="4ABD69FD"/>
    <w:rsid w:val="4ABD6D28"/>
    <w:rsid w:val="4AC740F5"/>
    <w:rsid w:val="4ACB13CF"/>
    <w:rsid w:val="4ACC69CB"/>
    <w:rsid w:val="4AD057B7"/>
    <w:rsid w:val="4ADD25FB"/>
    <w:rsid w:val="4ADE4335"/>
    <w:rsid w:val="4AEF2B5B"/>
    <w:rsid w:val="4AF30717"/>
    <w:rsid w:val="4AFF07F1"/>
    <w:rsid w:val="4AFF2915"/>
    <w:rsid w:val="4B002C3A"/>
    <w:rsid w:val="4B004741"/>
    <w:rsid w:val="4B02288A"/>
    <w:rsid w:val="4B0346BA"/>
    <w:rsid w:val="4B04025E"/>
    <w:rsid w:val="4B045160"/>
    <w:rsid w:val="4B135609"/>
    <w:rsid w:val="4B1C67FA"/>
    <w:rsid w:val="4B2056D4"/>
    <w:rsid w:val="4B206A6B"/>
    <w:rsid w:val="4B244EFD"/>
    <w:rsid w:val="4B3221B7"/>
    <w:rsid w:val="4B3C403E"/>
    <w:rsid w:val="4B4A1E20"/>
    <w:rsid w:val="4B521D81"/>
    <w:rsid w:val="4B5B261F"/>
    <w:rsid w:val="4B623CB4"/>
    <w:rsid w:val="4B687FD4"/>
    <w:rsid w:val="4B741C5B"/>
    <w:rsid w:val="4B751079"/>
    <w:rsid w:val="4B811257"/>
    <w:rsid w:val="4B816993"/>
    <w:rsid w:val="4B83233B"/>
    <w:rsid w:val="4B924716"/>
    <w:rsid w:val="4B9419F7"/>
    <w:rsid w:val="4B9E2880"/>
    <w:rsid w:val="4B9E74AF"/>
    <w:rsid w:val="4BA96810"/>
    <w:rsid w:val="4BAC02EC"/>
    <w:rsid w:val="4BAD645F"/>
    <w:rsid w:val="4BAE62F5"/>
    <w:rsid w:val="4BB75525"/>
    <w:rsid w:val="4BBA7DD7"/>
    <w:rsid w:val="4BBE10A9"/>
    <w:rsid w:val="4BC11F3B"/>
    <w:rsid w:val="4BC165A1"/>
    <w:rsid w:val="4BCA3A69"/>
    <w:rsid w:val="4BCE1362"/>
    <w:rsid w:val="4BD62466"/>
    <w:rsid w:val="4BE27C81"/>
    <w:rsid w:val="4BED0DF8"/>
    <w:rsid w:val="4BEF57EE"/>
    <w:rsid w:val="4BF050E2"/>
    <w:rsid w:val="4C021DD3"/>
    <w:rsid w:val="4C053F9C"/>
    <w:rsid w:val="4C057789"/>
    <w:rsid w:val="4C0D6866"/>
    <w:rsid w:val="4C0E4DDE"/>
    <w:rsid w:val="4C0F1FA0"/>
    <w:rsid w:val="4C1A2A5F"/>
    <w:rsid w:val="4C1A44FD"/>
    <w:rsid w:val="4C222801"/>
    <w:rsid w:val="4C2515BC"/>
    <w:rsid w:val="4C2744DE"/>
    <w:rsid w:val="4C291562"/>
    <w:rsid w:val="4C300A96"/>
    <w:rsid w:val="4C366339"/>
    <w:rsid w:val="4C3900BA"/>
    <w:rsid w:val="4C3972A1"/>
    <w:rsid w:val="4C443324"/>
    <w:rsid w:val="4C49535A"/>
    <w:rsid w:val="4C4A1538"/>
    <w:rsid w:val="4C4B5CF1"/>
    <w:rsid w:val="4C4C000A"/>
    <w:rsid w:val="4C4C2AC7"/>
    <w:rsid w:val="4C4E507A"/>
    <w:rsid w:val="4C502726"/>
    <w:rsid w:val="4C5222E0"/>
    <w:rsid w:val="4C572DDC"/>
    <w:rsid w:val="4C5A1877"/>
    <w:rsid w:val="4C5A1C18"/>
    <w:rsid w:val="4C601917"/>
    <w:rsid w:val="4C632EB2"/>
    <w:rsid w:val="4C644A3A"/>
    <w:rsid w:val="4C68078E"/>
    <w:rsid w:val="4C6C00DD"/>
    <w:rsid w:val="4C6D5048"/>
    <w:rsid w:val="4C750FB7"/>
    <w:rsid w:val="4C7B0F88"/>
    <w:rsid w:val="4C7C25EF"/>
    <w:rsid w:val="4C83194C"/>
    <w:rsid w:val="4C8A7BD2"/>
    <w:rsid w:val="4C8E5A77"/>
    <w:rsid w:val="4C907BF3"/>
    <w:rsid w:val="4C9A62D2"/>
    <w:rsid w:val="4C9D4E3B"/>
    <w:rsid w:val="4CA74125"/>
    <w:rsid w:val="4CA777A5"/>
    <w:rsid w:val="4CAD1D03"/>
    <w:rsid w:val="4CB66742"/>
    <w:rsid w:val="4CB77F7C"/>
    <w:rsid w:val="4CB81B12"/>
    <w:rsid w:val="4CBB3607"/>
    <w:rsid w:val="4CBE4327"/>
    <w:rsid w:val="4CC132B4"/>
    <w:rsid w:val="4CC33E38"/>
    <w:rsid w:val="4CCF711C"/>
    <w:rsid w:val="4CD50CA4"/>
    <w:rsid w:val="4CD652AC"/>
    <w:rsid w:val="4CD91FE0"/>
    <w:rsid w:val="4CDE493D"/>
    <w:rsid w:val="4CDF1E61"/>
    <w:rsid w:val="4CE1210C"/>
    <w:rsid w:val="4CE71987"/>
    <w:rsid w:val="4CE953A1"/>
    <w:rsid w:val="4CEA05FD"/>
    <w:rsid w:val="4CEC147B"/>
    <w:rsid w:val="4CEE2310"/>
    <w:rsid w:val="4CF21274"/>
    <w:rsid w:val="4D042D6A"/>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01E9E"/>
    <w:rsid w:val="4D5545A3"/>
    <w:rsid w:val="4D56242D"/>
    <w:rsid w:val="4D5E313C"/>
    <w:rsid w:val="4D60132F"/>
    <w:rsid w:val="4D63794E"/>
    <w:rsid w:val="4D69275F"/>
    <w:rsid w:val="4D696340"/>
    <w:rsid w:val="4D6E1562"/>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1738F"/>
    <w:rsid w:val="4DC92356"/>
    <w:rsid w:val="4DC945C5"/>
    <w:rsid w:val="4DCC1254"/>
    <w:rsid w:val="4DD6753F"/>
    <w:rsid w:val="4DE100E7"/>
    <w:rsid w:val="4DE52367"/>
    <w:rsid w:val="4DF57D5B"/>
    <w:rsid w:val="4DFB4AE2"/>
    <w:rsid w:val="4DFF0566"/>
    <w:rsid w:val="4E0D58F7"/>
    <w:rsid w:val="4E101469"/>
    <w:rsid w:val="4E170C0E"/>
    <w:rsid w:val="4E17118C"/>
    <w:rsid w:val="4E2B2FCF"/>
    <w:rsid w:val="4E333BB5"/>
    <w:rsid w:val="4E357F6B"/>
    <w:rsid w:val="4E371BF7"/>
    <w:rsid w:val="4E3D26A2"/>
    <w:rsid w:val="4E3D688F"/>
    <w:rsid w:val="4E3E6E2C"/>
    <w:rsid w:val="4E44293C"/>
    <w:rsid w:val="4E467BC9"/>
    <w:rsid w:val="4E490B45"/>
    <w:rsid w:val="4E5C715A"/>
    <w:rsid w:val="4E5F36B7"/>
    <w:rsid w:val="4E6C617F"/>
    <w:rsid w:val="4E762F41"/>
    <w:rsid w:val="4E776518"/>
    <w:rsid w:val="4E7964A9"/>
    <w:rsid w:val="4E7D7378"/>
    <w:rsid w:val="4E7F10F7"/>
    <w:rsid w:val="4E813DDC"/>
    <w:rsid w:val="4E833067"/>
    <w:rsid w:val="4E8856D7"/>
    <w:rsid w:val="4E8B1CD8"/>
    <w:rsid w:val="4E8B5727"/>
    <w:rsid w:val="4E8D5B77"/>
    <w:rsid w:val="4E9F5822"/>
    <w:rsid w:val="4E9F6EED"/>
    <w:rsid w:val="4EA62C4C"/>
    <w:rsid w:val="4EA973F1"/>
    <w:rsid w:val="4EAB4013"/>
    <w:rsid w:val="4EAD5507"/>
    <w:rsid w:val="4EB37DFC"/>
    <w:rsid w:val="4EB54156"/>
    <w:rsid w:val="4EB74D7B"/>
    <w:rsid w:val="4EBC593E"/>
    <w:rsid w:val="4EC40EDE"/>
    <w:rsid w:val="4EC82468"/>
    <w:rsid w:val="4ED208AF"/>
    <w:rsid w:val="4ED300A0"/>
    <w:rsid w:val="4ED74ED3"/>
    <w:rsid w:val="4ED77782"/>
    <w:rsid w:val="4ED85667"/>
    <w:rsid w:val="4EE46FC7"/>
    <w:rsid w:val="4EE8080A"/>
    <w:rsid w:val="4EEA0EBA"/>
    <w:rsid w:val="4EEB1A66"/>
    <w:rsid w:val="4EED1C0E"/>
    <w:rsid w:val="4EED6A77"/>
    <w:rsid w:val="4EEE7018"/>
    <w:rsid w:val="4EEF36C1"/>
    <w:rsid w:val="4EF86446"/>
    <w:rsid w:val="4F0536FA"/>
    <w:rsid w:val="4F0828E6"/>
    <w:rsid w:val="4F086E12"/>
    <w:rsid w:val="4F0F6E9E"/>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56923"/>
    <w:rsid w:val="4F976963"/>
    <w:rsid w:val="4F9C0E3D"/>
    <w:rsid w:val="4F9E3A19"/>
    <w:rsid w:val="4FA057FA"/>
    <w:rsid w:val="4FA50BF5"/>
    <w:rsid w:val="4FAB3195"/>
    <w:rsid w:val="4FAE1C5C"/>
    <w:rsid w:val="4FAE2769"/>
    <w:rsid w:val="4FAF30C3"/>
    <w:rsid w:val="4FB30E7E"/>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4FFF6CFC"/>
    <w:rsid w:val="50082EF5"/>
    <w:rsid w:val="500D60A8"/>
    <w:rsid w:val="50100F97"/>
    <w:rsid w:val="50174394"/>
    <w:rsid w:val="501A0BBE"/>
    <w:rsid w:val="501A21E0"/>
    <w:rsid w:val="5021442D"/>
    <w:rsid w:val="502226B7"/>
    <w:rsid w:val="5027727A"/>
    <w:rsid w:val="50290847"/>
    <w:rsid w:val="503175D5"/>
    <w:rsid w:val="5034215C"/>
    <w:rsid w:val="503625F2"/>
    <w:rsid w:val="503A6544"/>
    <w:rsid w:val="503C53AC"/>
    <w:rsid w:val="50440EE8"/>
    <w:rsid w:val="5046799C"/>
    <w:rsid w:val="50535CB7"/>
    <w:rsid w:val="505A42A1"/>
    <w:rsid w:val="505B684C"/>
    <w:rsid w:val="50632D07"/>
    <w:rsid w:val="50697F59"/>
    <w:rsid w:val="506F5D77"/>
    <w:rsid w:val="50710328"/>
    <w:rsid w:val="50715A85"/>
    <w:rsid w:val="50734618"/>
    <w:rsid w:val="5073496F"/>
    <w:rsid w:val="50984F82"/>
    <w:rsid w:val="509B0639"/>
    <w:rsid w:val="509E1153"/>
    <w:rsid w:val="50A22AE8"/>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2668F9"/>
    <w:rsid w:val="51285BBF"/>
    <w:rsid w:val="5133763C"/>
    <w:rsid w:val="51352804"/>
    <w:rsid w:val="51393A83"/>
    <w:rsid w:val="513B3DF9"/>
    <w:rsid w:val="51401B57"/>
    <w:rsid w:val="51480A97"/>
    <w:rsid w:val="51540609"/>
    <w:rsid w:val="516B021D"/>
    <w:rsid w:val="51724F8D"/>
    <w:rsid w:val="51756972"/>
    <w:rsid w:val="517E1E1F"/>
    <w:rsid w:val="51813564"/>
    <w:rsid w:val="518167F0"/>
    <w:rsid w:val="51844B36"/>
    <w:rsid w:val="518822DB"/>
    <w:rsid w:val="51896510"/>
    <w:rsid w:val="518B1B6A"/>
    <w:rsid w:val="518B739B"/>
    <w:rsid w:val="519410BA"/>
    <w:rsid w:val="51965D8A"/>
    <w:rsid w:val="519F1F6B"/>
    <w:rsid w:val="51AB65B4"/>
    <w:rsid w:val="51B66A68"/>
    <w:rsid w:val="51BC09C0"/>
    <w:rsid w:val="51BD7EC2"/>
    <w:rsid w:val="51C44E72"/>
    <w:rsid w:val="51CC7C75"/>
    <w:rsid w:val="51CD5E2E"/>
    <w:rsid w:val="51D00AA7"/>
    <w:rsid w:val="51D05768"/>
    <w:rsid w:val="51D34DB4"/>
    <w:rsid w:val="51DA0FA7"/>
    <w:rsid w:val="51E36027"/>
    <w:rsid w:val="51E514EF"/>
    <w:rsid w:val="51EC7A89"/>
    <w:rsid w:val="51F90329"/>
    <w:rsid w:val="51F950A0"/>
    <w:rsid w:val="51FD4276"/>
    <w:rsid w:val="52013C23"/>
    <w:rsid w:val="52022324"/>
    <w:rsid w:val="520254FC"/>
    <w:rsid w:val="52161438"/>
    <w:rsid w:val="52180389"/>
    <w:rsid w:val="521A11BC"/>
    <w:rsid w:val="521B4203"/>
    <w:rsid w:val="522012E9"/>
    <w:rsid w:val="5228188A"/>
    <w:rsid w:val="522A6770"/>
    <w:rsid w:val="522F191C"/>
    <w:rsid w:val="52363194"/>
    <w:rsid w:val="52365463"/>
    <w:rsid w:val="5237135B"/>
    <w:rsid w:val="5240020F"/>
    <w:rsid w:val="5247336B"/>
    <w:rsid w:val="524A5C68"/>
    <w:rsid w:val="52532968"/>
    <w:rsid w:val="52546140"/>
    <w:rsid w:val="525D3774"/>
    <w:rsid w:val="525D5F17"/>
    <w:rsid w:val="525F53B1"/>
    <w:rsid w:val="52643DC8"/>
    <w:rsid w:val="526D0958"/>
    <w:rsid w:val="52734368"/>
    <w:rsid w:val="527A3BA6"/>
    <w:rsid w:val="52836832"/>
    <w:rsid w:val="52924B44"/>
    <w:rsid w:val="529A7E86"/>
    <w:rsid w:val="52AD4907"/>
    <w:rsid w:val="52AE7568"/>
    <w:rsid w:val="52B0158A"/>
    <w:rsid w:val="52B63DBD"/>
    <w:rsid w:val="52B916BC"/>
    <w:rsid w:val="52BD0B55"/>
    <w:rsid w:val="52BF41DD"/>
    <w:rsid w:val="52C73AB7"/>
    <w:rsid w:val="52CB74EB"/>
    <w:rsid w:val="52CE6819"/>
    <w:rsid w:val="52CE6C86"/>
    <w:rsid w:val="52CF576A"/>
    <w:rsid w:val="52D02BD7"/>
    <w:rsid w:val="52D67630"/>
    <w:rsid w:val="52DA3F13"/>
    <w:rsid w:val="52E838BE"/>
    <w:rsid w:val="52E90CB7"/>
    <w:rsid w:val="52F42816"/>
    <w:rsid w:val="52FE47A9"/>
    <w:rsid w:val="53045931"/>
    <w:rsid w:val="53063DBD"/>
    <w:rsid w:val="53172A50"/>
    <w:rsid w:val="531B6B6A"/>
    <w:rsid w:val="53240747"/>
    <w:rsid w:val="532522FD"/>
    <w:rsid w:val="5325629E"/>
    <w:rsid w:val="53275C7D"/>
    <w:rsid w:val="53311BF2"/>
    <w:rsid w:val="533D4C85"/>
    <w:rsid w:val="53447CBE"/>
    <w:rsid w:val="53456AB3"/>
    <w:rsid w:val="534641E0"/>
    <w:rsid w:val="534718C6"/>
    <w:rsid w:val="53496F02"/>
    <w:rsid w:val="534B2225"/>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66401"/>
    <w:rsid w:val="53E96863"/>
    <w:rsid w:val="53EC6CC0"/>
    <w:rsid w:val="53EF2647"/>
    <w:rsid w:val="53F035EB"/>
    <w:rsid w:val="53F766D2"/>
    <w:rsid w:val="53F972C7"/>
    <w:rsid w:val="53FC6CB5"/>
    <w:rsid w:val="53FE1559"/>
    <w:rsid w:val="54022730"/>
    <w:rsid w:val="540C7023"/>
    <w:rsid w:val="541510B4"/>
    <w:rsid w:val="541511E9"/>
    <w:rsid w:val="54247E64"/>
    <w:rsid w:val="54287AC7"/>
    <w:rsid w:val="54287B8E"/>
    <w:rsid w:val="542D6B57"/>
    <w:rsid w:val="54315D9C"/>
    <w:rsid w:val="54323B0B"/>
    <w:rsid w:val="54372B10"/>
    <w:rsid w:val="54412BF0"/>
    <w:rsid w:val="54422EDA"/>
    <w:rsid w:val="544417C9"/>
    <w:rsid w:val="544B50D5"/>
    <w:rsid w:val="54514458"/>
    <w:rsid w:val="546A78D3"/>
    <w:rsid w:val="54767E31"/>
    <w:rsid w:val="54781903"/>
    <w:rsid w:val="548878FA"/>
    <w:rsid w:val="548A1E4E"/>
    <w:rsid w:val="548D289E"/>
    <w:rsid w:val="54910BA4"/>
    <w:rsid w:val="54956241"/>
    <w:rsid w:val="549A0616"/>
    <w:rsid w:val="549B20E6"/>
    <w:rsid w:val="549E3FD7"/>
    <w:rsid w:val="54A60315"/>
    <w:rsid w:val="54A7458A"/>
    <w:rsid w:val="54B86248"/>
    <w:rsid w:val="54C24B82"/>
    <w:rsid w:val="54C50B9C"/>
    <w:rsid w:val="54CA3C93"/>
    <w:rsid w:val="54D00FCE"/>
    <w:rsid w:val="54D51870"/>
    <w:rsid w:val="54D90E80"/>
    <w:rsid w:val="54E21F4F"/>
    <w:rsid w:val="54E71077"/>
    <w:rsid w:val="54E925A9"/>
    <w:rsid w:val="54F01E14"/>
    <w:rsid w:val="54F54248"/>
    <w:rsid w:val="551908BF"/>
    <w:rsid w:val="551B0328"/>
    <w:rsid w:val="55213B26"/>
    <w:rsid w:val="552524A9"/>
    <w:rsid w:val="55270ECD"/>
    <w:rsid w:val="552924E6"/>
    <w:rsid w:val="552C3CEB"/>
    <w:rsid w:val="552D19C6"/>
    <w:rsid w:val="552D7D08"/>
    <w:rsid w:val="55327DE8"/>
    <w:rsid w:val="55353746"/>
    <w:rsid w:val="5536380F"/>
    <w:rsid w:val="553711FA"/>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C56E3"/>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0D461C"/>
    <w:rsid w:val="5611799E"/>
    <w:rsid w:val="5614039E"/>
    <w:rsid w:val="56145E8E"/>
    <w:rsid w:val="561978EB"/>
    <w:rsid w:val="561D0938"/>
    <w:rsid w:val="56212188"/>
    <w:rsid w:val="56254844"/>
    <w:rsid w:val="562C48A4"/>
    <w:rsid w:val="562E289A"/>
    <w:rsid w:val="56324964"/>
    <w:rsid w:val="5635337A"/>
    <w:rsid w:val="563B1048"/>
    <w:rsid w:val="563C2D0A"/>
    <w:rsid w:val="563F1C04"/>
    <w:rsid w:val="5643182B"/>
    <w:rsid w:val="5646524C"/>
    <w:rsid w:val="5649734E"/>
    <w:rsid w:val="564E3688"/>
    <w:rsid w:val="56514294"/>
    <w:rsid w:val="565A5972"/>
    <w:rsid w:val="566355DD"/>
    <w:rsid w:val="56680BC9"/>
    <w:rsid w:val="566926ED"/>
    <w:rsid w:val="567043C4"/>
    <w:rsid w:val="567119B3"/>
    <w:rsid w:val="567636B0"/>
    <w:rsid w:val="567F4D05"/>
    <w:rsid w:val="568363E1"/>
    <w:rsid w:val="568F72CF"/>
    <w:rsid w:val="569725E9"/>
    <w:rsid w:val="569C6BEF"/>
    <w:rsid w:val="569C7055"/>
    <w:rsid w:val="56A84128"/>
    <w:rsid w:val="56AC31BC"/>
    <w:rsid w:val="56B20B45"/>
    <w:rsid w:val="56B2689B"/>
    <w:rsid w:val="56B635AB"/>
    <w:rsid w:val="56BB08A7"/>
    <w:rsid w:val="56BF1F76"/>
    <w:rsid w:val="56C0283E"/>
    <w:rsid w:val="56C05533"/>
    <w:rsid w:val="56C452B9"/>
    <w:rsid w:val="56C7434B"/>
    <w:rsid w:val="56CA491F"/>
    <w:rsid w:val="56D418EA"/>
    <w:rsid w:val="56D43345"/>
    <w:rsid w:val="56E365E9"/>
    <w:rsid w:val="56E8313E"/>
    <w:rsid w:val="56EB4412"/>
    <w:rsid w:val="56EB7634"/>
    <w:rsid w:val="56F25548"/>
    <w:rsid w:val="56F418BC"/>
    <w:rsid w:val="56FB556C"/>
    <w:rsid w:val="57004C44"/>
    <w:rsid w:val="57024A7F"/>
    <w:rsid w:val="570C2BE8"/>
    <w:rsid w:val="570D00B1"/>
    <w:rsid w:val="570D35F8"/>
    <w:rsid w:val="57273EC6"/>
    <w:rsid w:val="57320543"/>
    <w:rsid w:val="57351A93"/>
    <w:rsid w:val="573D0DE5"/>
    <w:rsid w:val="574320B3"/>
    <w:rsid w:val="574940F5"/>
    <w:rsid w:val="575163DC"/>
    <w:rsid w:val="57564B03"/>
    <w:rsid w:val="57576764"/>
    <w:rsid w:val="575D1406"/>
    <w:rsid w:val="575D7DC0"/>
    <w:rsid w:val="57646E8D"/>
    <w:rsid w:val="57650A3D"/>
    <w:rsid w:val="57711DF8"/>
    <w:rsid w:val="577269D1"/>
    <w:rsid w:val="577D7C19"/>
    <w:rsid w:val="577E73CA"/>
    <w:rsid w:val="578474C5"/>
    <w:rsid w:val="578528A9"/>
    <w:rsid w:val="57883154"/>
    <w:rsid w:val="578F659F"/>
    <w:rsid w:val="57943461"/>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0F6AAC"/>
    <w:rsid w:val="58127039"/>
    <w:rsid w:val="581C076D"/>
    <w:rsid w:val="581D2545"/>
    <w:rsid w:val="58397B39"/>
    <w:rsid w:val="58407313"/>
    <w:rsid w:val="58463E71"/>
    <w:rsid w:val="58476216"/>
    <w:rsid w:val="584A0C32"/>
    <w:rsid w:val="585501BC"/>
    <w:rsid w:val="58577099"/>
    <w:rsid w:val="58650C5B"/>
    <w:rsid w:val="58686AE8"/>
    <w:rsid w:val="586E570C"/>
    <w:rsid w:val="587179FB"/>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238E"/>
    <w:rsid w:val="58CA5531"/>
    <w:rsid w:val="58CB0FB1"/>
    <w:rsid w:val="58D25899"/>
    <w:rsid w:val="58DB5028"/>
    <w:rsid w:val="58DB6A5A"/>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75B2C"/>
    <w:rsid w:val="591B200C"/>
    <w:rsid w:val="59314A2C"/>
    <w:rsid w:val="593712A6"/>
    <w:rsid w:val="59376AEA"/>
    <w:rsid w:val="59384413"/>
    <w:rsid w:val="59391116"/>
    <w:rsid w:val="59407EC1"/>
    <w:rsid w:val="59450184"/>
    <w:rsid w:val="594C4BE4"/>
    <w:rsid w:val="5950437A"/>
    <w:rsid w:val="59561BC6"/>
    <w:rsid w:val="595719C7"/>
    <w:rsid w:val="595D7276"/>
    <w:rsid w:val="59607CB3"/>
    <w:rsid w:val="59626A47"/>
    <w:rsid w:val="59643A9B"/>
    <w:rsid w:val="596919E9"/>
    <w:rsid w:val="59695EEC"/>
    <w:rsid w:val="59722693"/>
    <w:rsid w:val="59741F96"/>
    <w:rsid w:val="59757B99"/>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11524"/>
    <w:rsid w:val="59B37F17"/>
    <w:rsid w:val="59B52188"/>
    <w:rsid w:val="59B63DB2"/>
    <w:rsid w:val="59BC3C55"/>
    <w:rsid w:val="59BF7E9B"/>
    <w:rsid w:val="59C03269"/>
    <w:rsid w:val="59C212E8"/>
    <w:rsid w:val="59C84F6E"/>
    <w:rsid w:val="59D042FF"/>
    <w:rsid w:val="59D25188"/>
    <w:rsid w:val="59D75E4C"/>
    <w:rsid w:val="59D96101"/>
    <w:rsid w:val="59E749A6"/>
    <w:rsid w:val="59EE4079"/>
    <w:rsid w:val="59F04440"/>
    <w:rsid w:val="59F141F6"/>
    <w:rsid w:val="59FF3986"/>
    <w:rsid w:val="5A02602A"/>
    <w:rsid w:val="5A104541"/>
    <w:rsid w:val="5A16478D"/>
    <w:rsid w:val="5A1E3F86"/>
    <w:rsid w:val="5A213C60"/>
    <w:rsid w:val="5A21777F"/>
    <w:rsid w:val="5A2250DB"/>
    <w:rsid w:val="5A2A5831"/>
    <w:rsid w:val="5A307F24"/>
    <w:rsid w:val="5A3559F8"/>
    <w:rsid w:val="5A3F48E3"/>
    <w:rsid w:val="5A416D15"/>
    <w:rsid w:val="5A441EE2"/>
    <w:rsid w:val="5A464D3F"/>
    <w:rsid w:val="5A465251"/>
    <w:rsid w:val="5A474346"/>
    <w:rsid w:val="5A484453"/>
    <w:rsid w:val="5A4F3A41"/>
    <w:rsid w:val="5A622269"/>
    <w:rsid w:val="5A63635F"/>
    <w:rsid w:val="5A6C627E"/>
    <w:rsid w:val="5A6E2A62"/>
    <w:rsid w:val="5A702555"/>
    <w:rsid w:val="5A7064FC"/>
    <w:rsid w:val="5A7C5F86"/>
    <w:rsid w:val="5A7E727D"/>
    <w:rsid w:val="5A7F6ABA"/>
    <w:rsid w:val="5A804900"/>
    <w:rsid w:val="5A822B02"/>
    <w:rsid w:val="5A8544A5"/>
    <w:rsid w:val="5A891233"/>
    <w:rsid w:val="5A892D67"/>
    <w:rsid w:val="5A8F3D71"/>
    <w:rsid w:val="5A981732"/>
    <w:rsid w:val="5AA00C18"/>
    <w:rsid w:val="5AA04FEC"/>
    <w:rsid w:val="5AA550F7"/>
    <w:rsid w:val="5AA77EBD"/>
    <w:rsid w:val="5AAB3608"/>
    <w:rsid w:val="5AAD115C"/>
    <w:rsid w:val="5AB143A8"/>
    <w:rsid w:val="5AB269D1"/>
    <w:rsid w:val="5AB362B7"/>
    <w:rsid w:val="5AB55C9B"/>
    <w:rsid w:val="5ABE2DB3"/>
    <w:rsid w:val="5AC4568B"/>
    <w:rsid w:val="5AC465B0"/>
    <w:rsid w:val="5AC9126A"/>
    <w:rsid w:val="5ACB4402"/>
    <w:rsid w:val="5ACD5F94"/>
    <w:rsid w:val="5AD004C7"/>
    <w:rsid w:val="5AD140B1"/>
    <w:rsid w:val="5AD70A48"/>
    <w:rsid w:val="5AD7618C"/>
    <w:rsid w:val="5ADC54ED"/>
    <w:rsid w:val="5AE627DD"/>
    <w:rsid w:val="5AE65AC1"/>
    <w:rsid w:val="5AE72CFB"/>
    <w:rsid w:val="5AE86727"/>
    <w:rsid w:val="5AE95F91"/>
    <w:rsid w:val="5AED60B1"/>
    <w:rsid w:val="5AF10757"/>
    <w:rsid w:val="5AF37FC2"/>
    <w:rsid w:val="5AF70F88"/>
    <w:rsid w:val="5AF745DE"/>
    <w:rsid w:val="5AFE4E4F"/>
    <w:rsid w:val="5B0249E0"/>
    <w:rsid w:val="5B040782"/>
    <w:rsid w:val="5B043ACD"/>
    <w:rsid w:val="5B07612F"/>
    <w:rsid w:val="5B0D44D7"/>
    <w:rsid w:val="5B1641FE"/>
    <w:rsid w:val="5B1838CA"/>
    <w:rsid w:val="5B1A00B4"/>
    <w:rsid w:val="5B1D0B7B"/>
    <w:rsid w:val="5B1E2054"/>
    <w:rsid w:val="5B1F372F"/>
    <w:rsid w:val="5B214B7A"/>
    <w:rsid w:val="5B23145A"/>
    <w:rsid w:val="5B2775CA"/>
    <w:rsid w:val="5B3079B1"/>
    <w:rsid w:val="5B363956"/>
    <w:rsid w:val="5B3A53F7"/>
    <w:rsid w:val="5B3C26CD"/>
    <w:rsid w:val="5B3F35C5"/>
    <w:rsid w:val="5B3F6C62"/>
    <w:rsid w:val="5B415D6C"/>
    <w:rsid w:val="5B462C87"/>
    <w:rsid w:val="5B467A3A"/>
    <w:rsid w:val="5B484384"/>
    <w:rsid w:val="5B576288"/>
    <w:rsid w:val="5B605983"/>
    <w:rsid w:val="5B633DD6"/>
    <w:rsid w:val="5B663AED"/>
    <w:rsid w:val="5B69795A"/>
    <w:rsid w:val="5B6B2882"/>
    <w:rsid w:val="5B6F1970"/>
    <w:rsid w:val="5B72043B"/>
    <w:rsid w:val="5B770A85"/>
    <w:rsid w:val="5B7E1425"/>
    <w:rsid w:val="5B7E573E"/>
    <w:rsid w:val="5B822E9B"/>
    <w:rsid w:val="5B8578BE"/>
    <w:rsid w:val="5B893FE8"/>
    <w:rsid w:val="5B8C27F5"/>
    <w:rsid w:val="5B931A5F"/>
    <w:rsid w:val="5B96388B"/>
    <w:rsid w:val="5B9A1729"/>
    <w:rsid w:val="5B9C7EC8"/>
    <w:rsid w:val="5B9E66F6"/>
    <w:rsid w:val="5B9F4952"/>
    <w:rsid w:val="5BA21FBD"/>
    <w:rsid w:val="5BA40851"/>
    <w:rsid w:val="5BA857C0"/>
    <w:rsid w:val="5BAF0D57"/>
    <w:rsid w:val="5BBC3894"/>
    <w:rsid w:val="5BBC7CD9"/>
    <w:rsid w:val="5BC02424"/>
    <w:rsid w:val="5BC207F8"/>
    <w:rsid w:val="5BC95954"/>
    <w:rsid w:val="5BD45122"/>
    <w:rsid w:val="5BD90725"/>
    <w:rsid w:val="5BDB30C2"/>
    <w:rsid w:val="5BE06C40"/>
    <w:rsid w:val="5BE4696F"/>
    <w:rsid w:val="5BE56C52"/>
    <w:rsid w:val="5BE6132E"/>
    <w:rsid w:val="5BE7234F"/>
    <w:rsid w:val="5BEB0994"/>
    <w:rsid w:val="5BEB711B"/>
    <w:rsid w:val="5BEC2613"/>
    <w:rsid w:val="5BF05D9F"/>
    <w:rsid w:val="5BF069A9"/>
    <w:rsid w:val="5BF65A36"/>
    <w:rsid w:val="5BFF68A2"/>
    <w:rsid w:val="5C010EEF"/>
    <w:rsid w:val="5C064E5F"/>
    <w:rsid w:val="5C152995"/>
    <w:rsid w:val="5C1A0B69"/>
    <w:rsid w:val="5C2E0ABA"/>
    <w:rsid w:val="5C362505"/>
    <w:rsid w:val="5C4302AF"/>
    <w:rsid w:val="5C496E06"/>
    <w:rsid w:val="5C501594"/>
    <w:rsid w:val="5C530A3F"/>
    <w:rsid w:val="5C533B56"/>
    <w:rsid w:val="5C5820E1"/>
    <w:rsid w:val="5C5D3398"/>
    <w:rsid w:val="5C63455C"/>
    <w:rsid w:val="5C690B0C"/>
    <w:rsid w:val="5C7103F1"/>
    <w:rsid w:val="5C734616"/>
    <w:rsid w:val="5C8E4D46"/>
    <w:rsid w:val="5C911EB8"/>
    <w:rsid w:val="5C9246C1"/>
    <w:rsid w:val="5C945015"/>
    <w:rsid w:val="5C985759"/>
    <w:rsid w:val="5C9C7C0A"/>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ED5FE2"/>
    <w:rsid w:val="5CFE554A"/>
    <w:rsid w:val="5D0D08D2"/>
    <w:rsid w:val="5D1102F0"/>
    <w:rsid w:val="5D1315D5"/>
    <w:rsid w:val="5D1A6374"/>
    <w:rsid w:val="5D241D0D"/>
    <w:rsid w:val="5D2810F6"/>
    <w:rsid w:val="5D2853F4"/>
    <w:rsid w:val="5D287792"/>
    <w:rsid w:val="5D2C7B52"/>
    <w:rsid w:val="5D403759"/>
    <w:rsid w:val="5D405301"/>
    <w:rsid w:val="5D41519E"/>
    <w:rsid w:val="5D4A39D0"/>
    <w:rsid w:val="5D4A3B3F"/>
    <w:rsid w:val="5D5106D2"/>
    <w:rsid w:val="5D545032"/>
    <w:rsid w:val="5D563A27"/>
    <w:rsid w:val="5D680387"/>
    <w:rsid w:val="5D6D5C66"/>
    <w:rsid w:val="5D7206A1"/>
    <w:rsid w:val="5D740B52"/>
    <w:rsid w:val="5D74307D"/>
    <w:rsid w:val="5D755F99"/>
    <w:rsid w:val="5D7656F6"/>
    <w:rsid w:val="5D782CF4"/>
    <w:rsid w:val="5D7E3940"/>
    <w:rsid w:val="5D813DE2"/>
    <w:rsid w:val="5D850140"/>
    <w:rsid w:val="5D8C6494"/>
    <w:rsid w:val="5D8F323A"/>
    <w:rsid w:val="5D9638E2"/>
    <w:rsid w:val="5D9658FD"/>
    <w:rsid w:val="5D980180"/>
    <w:rsid w:val="5DA00BBA"/>
    <w:rsid w:val="5DA13035"/>
    <w:rsid w:val="5DA264BD"/>
    <w:rsid w:val="5DA81A7E"/>
    <w:rsid w:val="5DA81B3F"/>
    <w:rsid w:val="5DB62AA6"/>
    <w:rsid w:val="5DB6541A"/>
    <w:rsid w:val="5DB76529"/>
    <w:rsid w:val="5DC0151D"/>
    <w:rsid w:val="5DC53FF5"/>
    <w:rsid w:val="5DC774B0"/>
    <w:rsid w:val="5DCE4D4E"/>
    <w:rsid w:val="5DD02444"/>
    <w:rsid w:val="5DD21316"/>
    <w:rsid w:val="5DD30C3F"/>
    <w:rsid w:val="5DD649D0"/>
    <w:rsid w:val="5DDC52FB"/>
    <w:rsid w:val="5DE00370"/>
    <w:rsid w:val="5DE00F62"/>
    <w:rsid w:val="5DE20BD2"/>
    <w:rsid w:val="5DE24087"/>
    <w:rsid w:val="5DE26ACA"/>
    <w:rsid w:val="5DE37EA6"/>
    <w:rsid w:val="5DE518A9"/>
    <w:rsid w:val="5DEA787A"/>
    <w:rsid w:val="5DEE4F56"/>
    <w:rsid w:val="5DF23E5C"/>
    <w:rsid w:val="5DF32F4F"/>
    <w:rsid w:val="5DF47E46"/>
    <w:rsid w:val="5DF946B2"/>
    <w:rsid w:val="5DFA04F6"/>
    <w:rsid w:val="5E034523"/>
    <w:rsid w:val="5E090D92"/>
    <w:rsid w:val="5E0F732F"/>
    <w:rsid w:val="5E146038"/>
    <w:rsid w:val="5E2D2F8F"/>
    <w:rsid w:val="5E2E257F"/>
    <w:rsid w:val="5E30626B"/>
    <w:rsid w:val="5E3068B0"/>
    <w:rsid w:val="5E335822"/>
    <w:rsid w:val="5E407912"/>
    <w:rsid w:val="5E433AC6"/>
    <w:rsid w:val="5E490508"/>
    <w:rsid w:val="5E4B57BE"/>
    <w:rsid w:val="5E4D475B"/>
    <w:rsid w:val="5E511FF2"/>
    <w:rsid w:val="5E546B01"/>
    <w:rsid w:val="5E585064"/>
    <w:rsid w:val="5E5E337E"/>
    <w:rsid w:val="5E610076"/>
    <w:rsid w:val="5E6177B3"/>
    <w:rsid w:val="5E623C9A"/>
    <w:rsid w:val="5E66064F"/>
    <w:rsid w:val="5E663BDB"/>
    <w:rsid w:val="5E674527"/>
    <w:rsid w:val="5E674BD8"/>
    <w:rsid w:val="5E6C2656"/>
    <w:rsid w:val="5E6E3701"/>
    <w:rsid w:val="5E734528"/>
    <w:rsid w:val="5E74323A"/>
    <w:rsid w:val="5E7B146C"/>
    <w:rsid w:val="5E7D29BD"/>
    <w:rsid w:val="5E803CD0"/>
    <w:rsid w:val="5E8175BA"/>
    <w:rsid w:val="5E855842"/>
    <w:rsid w:val="5E863851"/>
    <w:rsid w:val="5E8F7E0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8510A"/>
    <w:rsid w:val="5ED938A6"/>
    <w:rsid w:val="5EDA017A"/>
    <w:rsid w:val="5EDE0371"/>
    <w:rsid w:val="5EEC0916"/>
    <w:rsid w:val="5EEC5F29"/>
    <w:rsid w:val="5EEC6FA8"/>
    <w:rsid w:val="5EF047AB"/>
    <w:rsid w:val="5EF04D4E"/>
    <w:rsid w:val="5EF8799D"/>
    <w:rsid w:val="5EFC637F"/>
    <w:rsid w:val="5EFE1DCB"/>
    <w:rsid w:val="5F023BBA"/>
    <w:rsid w:val="5F065860"/>
    <w:rsid w:val="5F075C75"/>
    <w:rsid w:val="5F0825EB"/>
    <w:rsid w:val="5F0F25B5"/>
    <w:rsid w:val="5F0F3CC7"/>
    <w:rsid w:val="5F174263"/>
    <w:rsid w:val="5F1903F3"/>
    <w:rsid w:val="5F223B4E"/>
    <w:rsid w:val="5F254AD4"/>
    <w:rsid w:val="5F2C1ADA"/>
    <w:rsid w:val="5F307E55"/>
    <w:rsid w:val="5F3C6F75"/>
    <w:rsid w:val="5F403104"/>
    <w:rsid w:val="5F415D9D"/>
    <w:rsid w:val="5F4744F9"/>
    <w:rsid w:val="5F496628"/>
    <w:rsid w:val="5F5111A7"/>
    <w:rsid w:val="5F514A63"/>
    <w:rsid w:val="5F5D2245"/>
    <w:rsid w:val="5F5F4C16"/>
    <w:rsid w:val="5F6A0B5D"/>
    <w:rsid w:val="5F6C211E"/>
    <w:rsid w:val="5F6C79BB"/>
    <w:rsid w:val="5F727DD0"/>
    <w:rsid w:val="5F734791"/>
    <w:rsid w:val="5F7536CD"/>
    <w:rsid w:val="5F794FC5"/>
    <w:rsid w:val="5F7C1730"/>
    <w:rsid w:val="5F7D7874"/>
    <w:rsid w:val="5F7E3C29"/>
    <w:rsid w:val="5F7F4748"/>
    <w:rsid w:val="5F872BDD"/>
    <w:rsid w:val="5F9014AE"/>
    <w:rsid w:val="5F9A3324"/>
    <w:rsid w:val="5FA2777D"/>
    <w:rsid w:val="5FA55820"/>
    <w:rsid w:val="5FA948D4"/>
    <w:rsid w:val="5FB372F0"/>
    <w:rsid w:val="5FB376AF"/>
    <w:rsid w:val="5FC017AD"/>
    <w:rsid w:val="5FC729F3"/>
    <w:rsid w:val="5FC83815"/>
    <w:rsid w:val="5FD7706A"/>
    <w:rsid w:val="5FDB4F3D"/>
    <w:rsid w:val="5FE10819"/>
    <w:rsid w:val="5FE30BA2"/>
    <w:rsid w:val="5FE9054F"/>
    <w:rsid w:val="5FEE01B5"/>
    <w:rsid w:val="5FF446A9"/>
    <w:rsid w:val="5FF85070"/>
    <w:rsid w:val="5FF940F0"/>
    <w:rsid w:val="5FF96E21"/>
    <w:rsid w:val="5FFC4F56"/>
    <w:rsid w:val="6007496A"/>
    <w:rsid w:val="600870EA"/>
    <w:rsid w:val="6013140E"/>
    <w:rsid w:val="601857BB"/>
    <w:rsid w:val="601A36E0"/>
    <w:rsid w:val="601D2C80"/>
    <w:rsid w:val="601E28CD"/>
    <w:rsid w:val="602229C5"/>
    <w:rsid w:val="602640DE"/>
    <w:rsid w:val="602664AC"/>
    <w:rsid w:val="6029452A"/>
    <w:rsid w:val="603E4F2F"/>
    <w:rsid w:val="60432B5E"/>
    <w:rsid w:val="604364C0"/>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E600F"/>
    <w:rsid w:val="60CF74B2"/>
    <w:rsid w:val="60D46E93"/>
    <w:rsid w:val="60D640BA"/>
    <w:rsid w:val="60DB43D6"/>
    <w:rsid w:val="60E12A4A"/>
    <w:rsid w:val="60EA6A84"/>
    <w:rsid w:val="60ED3071"/>
    <w:rsid w:val="60ED7C9C"/>
    <w:rsid w:val="60F20FB7"/>
    <w:rsid w:val="60F40158"/>
    <w:rsid w:val="60FD647E"/>
    <w:rsid w:val="60FE6691"/>
    <w:rsid w:val="61016998"/>
    <w:rsid w:val="6102177A"/>
    <w:rsid w:val="610B0F2E"/>
    <w:rsid w:val="61174B39"/>
    <w:rsid w:val="611A0DA2"/>
    <w:rsid w:val="611A2038"/>
    <w:rsid w:val="611C5424"/>
    <w:rsid w:val="611E6D82"/>
    <w:rsid w:val="612369B4"/>
    <w:rsid w:val="61252A3F"/>
    <w:rsid w:val="61283BBF"/>
    <w:rsid w:val="612C5770"/>
    <w:rsid w:val="6131314D"/>
    <w:rsid w:val="61346941"/>
    <w:rsid w:val="613A74B9"/>
    <w:rsid w:val="613C1C4E"/>
    <w:rsid w:val="613F585A"/>
    <w:rsid w:val="614D3232"/>
    <w:rsid w:val="61547574"/>
    <w:rsid w:val="61550767"/>
    <w:rsid w:val="615F7EE9"/>
    <w:rsid w:val="616A5B5D"/>
    <w:rsid w:val="616A727B"/>
    <w:rsid w:val="616C3FB1"/>
    <w:rsid w:val="61747347"/>
    <w:rsid w:val="61784C09"/>
    <w:rsid w:val="617C1EED"/>
    <w:rsid w:val="617C37F4"/>
    <w:rsid w:val="617E6243"/>
    <w:rsid w:val="61843430"/>
    <w:rsid w:val="6193665A"/>
    <w:rsid w:val="61965727"/>
    <w:rsid w:val="619F7ACD"/>
    <w:rsid w:val="61AA52DF"/>
    <w:rsid w:val="61B854D2"/>
    <w:rsid w:val="61C041DC"/>
    <w:rsid w:val="61C33C28"/>
    <w:rsid w:val="61C87F95"/>
    <w:rsid w:val="61C91364"/>
    <w:rsid w:val="61CD719C"/>
    <w:rsid w:val="61D034C4"/>
    <w:rsid w:val="61D9129E"/>
    <w:rsid w:val="61E363D8"/>
    <w:rsid w:val="61E465F1"/>
    <w:rsid w:val="61F74CCA"/>
    <w:rsid w:val="61FD3DC4"/>
    <w:rsid w:val="62047640"/>
    <w:rsid w:val="6209412E"/>
    <w:rsid w:val="620D54F0"/>
    <w:rsid w:val="62163D6A"/>
    <w:rsid w:val="6216502C"/>
    <w:rsid w:val="621A2FC5"/>
    <w:rsid w:val="621C3196"/>
    <w:rsid w:val="622710A4"/>
    <w:rsid w:val="62281E02"/>
    <w:rsid w:val="62293F1C"/>
    <w:rsid w:val="622B2008"/>
    <w:rsid w:val="62310466"/>
    <w:rsid w:val="62317C97"/>
    <w:rsid w:val="62331129"/>
    <w:rsid w:val="62342FEE"/>
    <w:rsid w:val="62350A46"/>
    <w:rsid w:val="624128C8"/>
    <w:rsid w:val="62423062"/>
    <w:rsid w:val="62445F7C"/>
    <w:rsid w:val="624871FD"/>
    <w:rsid w:val="624B0C0E"/>
    <w:rsid w:val="624B55C6"/>
    <w:rsid w:val="62570F9F"/>
    <w:rsid w:val="6257242E"/>
    <w:rsid w:val="62580196"/>
    <w:rsid w:val="625E4138"/>
    <w:rsid w:val="6263351F"/>
    <w:rsid w:val="62660FBE"/>
    <w:rsid w:val="62671568"/>
    <w:rsid w:val="626E1485"/>
    <w:rsid w:val="6277179C"/>
    <w:rsid w:val="627D238E"/>
    <w:rsid w:val="6281149E"/>
    <w:rsid w:val="62814AC5"/>
    <w:rsid w:val="62850A93"/>
    <w:rsid w:val="62851D9A"/>
    <w:rsid w:val="629906C8"/>
    <w:rsid w:val="629C16B2"/>
    <w:rsid w:val="629C3859"/>
    <w:rsid w:val="62A46F9E"/>
    <w:rsid w:val="62A72DD4"/>
    <w:rsid w:val="62B11549"/>
    <w:rsid w:val="62B315FF"/>
    <w:rsid w:val="62B329D9"/>
    <w:rsid w:val="62B86FA9"/>
    <w:rsid w:val="62BC3E88"/>
    <w:rsid w:val="62C002AA"/>
    <w:rsid w:val="62C47F9B"/>
    <w:rsid w:val="62D67E2B"/>
    <w:rsid w:val="62D901BE"/>
    <w:rsid w:val="62DF4F75"/>
    <w:rsid w:val="62E15891"/>
    <w:rsid w:val="62E76DF3"/>
    <w:rsid w:val="62EA5C2C"/>
    <w:rsid w:val="62FD04F8"/>
    <w:rsid w:val="62FF6655"/>
    <w:rsid w:val="63074D4D"/>
    <w:rsid w:val="630E2EB5"/>
    <w:rsid w:val="63126B2F"/>
    <w:rsid w:val="63133D38"/>
    <w:rsid w:val="631779BD"/>
    <w:rsid w:val="632E498D"/>
    <w:rsid w:val="633336D4"/>
    <w:rsid w:val="63350F4B"/>
    <w:rsid w:val="63351903"/>
    <w:rsid w:val="6341499B"/>
    <w:rsid w:val="63416F64"/>
    <w:rsid w:val="634325ED"/>
    <w:rsid w:val="63443AEC"/>
    <w:rsid w:val="634802B3"/>
    <w:rsid w:val="63547A08"/>
    <w:rsid w:val="63574F6E"/>
    <w:rsid w:val="635C28DF"/>
    <w:rsid w:val="63602152"/>
    <w:rsid w:val="636075B2"/>
    <w:rsid w:val="63652712"/>
    <w:rsid w:val="636A0F15"/>
    <w:rsid w:val="637A63EB"/>
    <w:rsid w:val="6385218B"/>
    <w:rsid w:val="638541CF"/>
    <w:rsid w:val="63864A92"/>
    <w:rsid w:val="639154D4"/>
    <w:rsid w:val="639A0875"/>
    <w:rsid w:val="639B71D2"/>
    <w:rsid w:val="639E3C88"/>
    <w:rsid w:val="63A17DFD"/>
    <w:rsid w:val="63AB1FE1"/>
    <w:rsid w:val="63B01ED8"/>
    <w:rsid w:val="63B5452C"/>
    <w:rsid w:val="63B76AE2"/>
    <w:rsid w:val="63BD439C"/>
    <w:rsid w:val="63BD7C68"/>
    <w:rsid w:val="63C41DD1"/>
    <w:rsid w:val="63C501CC"/>
    <w:rsid w:val="63C72372"/>
    <w:rsid w:val="63C977A8"/>
    <w:rsid w:val="63D25757"/>
    <w:rsid w:val="63D32D5D"/>
    <w:rsid w:val="63D72CE7"/>
    <w:rsid w:val="63E03FEA"/>
    <w:rsid w:val="63E33D27"/>
    <w:rsid w:val="63E74642"/>
    <w:rsid w:val="63E96742"/>
    <w:rsid w:val="63EE5BED"/>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054B9"/>
    <w:rsid w:val="64305A95"/>
    <w:rsid w:val="6435158C"/>
    <w:rsid w:val="643B5957"/>
    <w:rsid w:val="643C2C3D"/>
    <w:rsid w:val="6443327B"/>
    <w:rsid w:val="644C64F7"/>
    <w:rsid w:val="64573736"/>
    <w:rsid w:val="64595EAC"/>
    <w:rsid w:val="64646BB3"/>
    <w:rsid w:val="64655408"/>
    <w:rsid w:val="64684D4E"/>
    <w:rsid w:val="646905B9"/>
    <w:rsid w:val="646959E6"/>
    <w:rsid w:val="646A1498"/>
    <w:rsid w:val="646A4255"/>
    <w:rsid w:val="646A4D19"/>
    <w:rsid w:val="64713B8F"/>
    <w:rsid w:val="647301C9"/>
    <w:rsid w:val="64753628"/>
    <w:rsid w:val="64762A3B"/>
    <w:rsid w:val="64780C1F"/>
    <w:rsid w:val="648230FE"/>
    <w:rsid w:val="64897D48"/>
    <w:rsid w:val="648B5C8D"/>
    <w:rsid w:val="649040B2"/>
    <w:rsid w:val="64932164"/>
    <w:rsid w:val="64990A00"/>
    <w:rsid w:val="649C4ECA"/>
    <w:rsid w:val="64AB6B0F"/>
    <w:rsid w:val="64AC71C5"/>
    <w:rsid w:val="64AD64C8"/>
    <w:rsid w:val="64AE4EA4"/>
    <w:rsid w:val="64B11EFC"/>
    <w:rsid w:val="64B35DE8"/>
    <w:rsid w:val="64B7365E"/>
    <w:rsid w:val="64BF2A8C"/>
    <w:rsid w:val="64BF4F0A"/>
    <w:rsid w:val="64C32A6F"/>
    <w:rsid w:val="64C63292"/>
    <w:rsid w:val="64C70EC1"/>
    <w:rsid w:val="64C91401"/>
    <w:rsid w:val="64CD2D4A"/>
    <w:rsid w:val="64D71BA6"/>
    <w:rsid w:val="64DB76BD"/>
    <w:rsid w:val="64EC5E46"/>
    <w:rsid w:val="64F05517"/>
    <w:rsid w:val="64F34891"/>
    <w:rsid w:val="64F45D47"/>
    <w:rsid w:val="64F46B8A"/>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66761"/>
    <w:rsid w:val="65287ECF"/>
    <w:rsid w:val="6529782D"/>
    <w:rsid w:val="653406A7"/>
    <w:rsid w:val="653F3F4B"/>
    <w:rsid w:val="65442614"/>
    <w:rsid w:val="65474108"/>
    <w:rsid w:val="65483234"/>
    <w:rsid w:val="654A70DD"/>
    <w:rsid w:val="65506794"/>
    <w:rsid w:val="65572F3C"/>
    <w:rsid w:val="655A3450"/>
    <w:rsid w:val="655E4E68"/>
    <w:rsid w:val="656503D7"/>
    <w:rsid w:val="656630D1"/>
    <w:rsid w:val="657024EB"/>
    <w:rsid w:val="6570285A"/>
    <w:rsid w:val="65706756"/>
    <w:rsid w:val="65745028"/>
    <w:rsid w:val="65776C14"/>
    <w:rsid w:val="65786867"/>
    <w:rsid w:val="657C01A2"/>
    <w:rsid w:val="657D055C"/>
    <w:rsid w:val="65880D68"/>
    <w:rsid w:val="6588700C"/>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C2F6F"/>
    <w:rsid w:val="65FD216C"/>
    <w:rsid w:val="65FE7DD6"/>
    <w:rsid w:val="66031B87"/>
    <w:rsid w:val="66043819"/>
    <w:rsid w:val="660470F6"/>
    <w:rsid w:val="660A05D9"/>
    <w:rsid w:val="660B76F3"/>
    <w:rsid w:val="66156C4D"/>
    <w:rsid w:val="66164AC3"/>
    <w:rsid w:val="661B36E7"/>
    <w:rsid w:val="661E0924"/>
    <w:rsid w:val="662244D2"/>
    <w:rsid w:val="66230966"/>
    <w:rsid w:val="66240622"/>
    <w:rsid w:val="662411BF"/>
    <w:rsid w:val="662511C9"/>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A5154"/>
    <w:rsid w:val="668B6CD0"/>
    <w:rsid w:val="669A357F"/>
    <w:rsid w:val="66A31556"/>
    <w:rsid w:val="66AB4650"/>
    <w:rsid w:val="66AF5BE1"/>
    <w:rsid w:val="66B37F84"/>
    <w:rsid w:val="66B40759"/>
    <w:rsid w:val="66BE2FA5"/>
    <w:rsid w:val="66C16711"/>
    <w:rsid w:val="66C9321B"/>
    <w:rsid w:val="66CC4487"/>
    <w:rsid w:val="66CF0500"/>
    <w:rsid w:val="66D23D78"/>
    <w:rsid w:val="66D61628"/>
    <w:rsid w:val="66D76593"/>
    <w:rsid w:val="66D83405"/>
    <w:rsid w:val="66DC7B4A"/>
    <w:rsid w:val="66DF46C2"/>
    <w:rsid w:val="66E40E13"/>
    <w:rsid w:val="66E85249"/>
    <w:rsid w:val="66EB12C4"/>
    <w:rsid w:val="66F05D75"/>
    <w:rsid w:val="66F14286"/>
    <w:rsid w:val="66F43AE9"/>
    <w:rsid w:val="66FB72CF"/>
    <w:rsid w:val="66FF75FB"/>
    <w:rsid w:val="67097AAA"/>
    <w:rsid w:val="670A543B"/>
    <w:rsid w:val="670D1B71"/>
    <w:rsid w:val="67141282"/>
    <w:rsid w:val="67281EC7"/>
    <w:rsid w:val="67324379"/>
    <w:rsid w:val="67344028"/>
    <w:rsid w:val="67392A66"/>
    <w:rsid w:val="673D0326"/>
    <w:rsid w:val="674444D9"/>
    <w:rsid w:val="67456731"/>
    <w:rsid w:val="674905AC"/>
    <w:rsid w:val="67496F8C"/>
    <w:rsid w:val="674B0C95"/>
    <w:rsid w:val="675327AE"/>
    <w:rsid w:val="6754488A"/>
    <w:rsid w:val="67556196"/>
    <w:rsid w:val="67596A37"/>
    <w:rsid w:val="675B6E55"/>
    <w:rsid w:val="675E5A16"/>
    <w:rsid w:val="675F562E"/>
    <w:rsid w:val="67636AE2"/>
    <w:rsid w:val="67686498"/>
    <w:rsid w:val="676947A2"/>
    <w:rsid w:val="676A3201"/>
    <w:rsid w:val="676D1A50"/>
    <w:rsid w:val="676E1DA6"/>
    <w:rsid w:val="676F3DA1"/>
    <w:rsid w:val="6770670C"/>
    <w:rsid w:val="677C799E"/>
    <w:rsid w:val="67827DF9"/>
    <w:rsid w:val="67834F83"/>
    <w:rsid w:val="6792405E"/>
    <w:rsid w:val="67987A86"/>
    <w:rsid w:val="67990B56"/>
    <w:rsid w:val="67990CAA"/>
    <w:rsid w:val="679B4BE7"/>
    <w:rsid w:val="67A060C7"/>
    <w:rsid w:val="67A454B1"/>
    <w:rsid w:val="67B0143C"/>
    <w:rsid w:val="67BA4E20"/>
    <w:rsid w:val="67C00B00"/>
    <w:rsid w:val="67C55133"/>
    <w:rsid w:val="67C80310"/>
    <w:rsid w:val="67CF419D"/>
    <w:rsid w:val="67D51ED2"/>
    <w:rsid w:val="67D9767C"/>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93D6E"/>
    <w:rsid w:val="682F7DB2"/>
    <w:rsid w:val="6830505E"/>
    <w:rsid w:val="6831388B"/>
    <w:rsid w:val="683770B8"/>
    <w:rsid w:val="683965C1"/>
    <w:rsid w:val="683B5DF7"/>
    <w:rsid w:val="683D6F3A"/>
    <w:rsid w:val="68426F29"/>
    <w:rsid w:val="68430152"/>
    <w:rsid w:val="68466DDB"/>
    <w:rsid w:val="684D72F1"/>
    <w:rsid w:val="68596E7A"/>
    <w:rsid w:val="685C30B4"/>
    <w:rsid w:val="685E0BD6"/>
    <w:rsid w:val="68616BDF"/>
    <w:rsid w:val="68627BE9"/>
    <w:rsid w:val="686B0397"/>
    <w:rsid w:val="686C5C45"/>
    <w:rsid w:val="687F5E75"/>
    <w:rsid w:val="6882283D"/>
    <w:rsid w:val="68851CBF"/>
    <w:rsid w:val="68864BA5"/>
    <w:rsid w:val="688709AF"/>
    <w:rsid w:val="688D03F7"/>
    <w:rsid w:val="689434DA"/>
    <w:rsid w:val="68956C27"/>
    <w:rsid w:val="68983320"/>
    <w:rsid w:val="689A0693"/>
    <w:rsid w:val="689B6CBC"/>
    <w:rsid w:val="689E1B95"/>
    <w:rsid w:val="689F4CC7"/>
    <w:rsid w:val="68A01296"/>
    <w:rsid w:val="68A41E22"/>
    <w:rsid w:val="68A60186"/>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2A95"/>
    <w:rsid w:val="690952C8"/>
    <w:rsid w:val="69153A94"/>
    <w:rsid w:val="691A6F97"/>
    <w:rsid w:val="69315234"/>
    <w:rsid w:val="69385B42"/>
    <w:rsid w:val="694101FB"/>
    <w:rsid w:val="695529DF"/>
    <w:rsid w:val="69583967"/>
    <w:rsid w:val="695A3922"/>
    <w:rsid w:val="695A42D9"/>
    <w:rsid w:val="69613399"/>
    <w:rsid w:val="69624E8F"/>
    <w:rsid w:val="69637697"/>
    <w:rsid w:val="69717F4D"/>
    <w:rsid w:val="69737A3B"/>
    <w:rsid w:val="69796036"/>
    <w:rsid w:val="697D0F42"/>
    <w:rsid w:val="697E6F24"/>
    <w:rsid w:val="697F230D"/>
    <w:rsid w:val="6983065E"/>
    <w:rsid w:val="698922A3"/>
    <w:rsid w:val="6989270C"/>
    <w:rsid w:val="69893B07"/>
    <w:rsid w:val="698B44CB"/>
    <w:rsid w:val="699129B0"/>
    <w:rsid w:val="699D0C87"/>
    <w:rsid w:val="69A14334"/>
    <w:rsid w:val="69A15775"/>
    <w:rsid w:val="69A94A41"/>
    <w:rsid w:val="69B33A08"/>
    <w:rsid w:val="69B649A4"/>
    <w:rsid w:val="69C026AD"/>
    <w:rsid w:val="69C40C44"/>
    <w:rsid w:val="69C4366B"/>
    <w:rsid w:val="69C658E4"/>
    <w:rsid w:val="69D5474D"/>
    <w:rsid w:val="69D87485"/>
    <w:rsid w:val="69DB51C3"/>
    <w:rsid w:val="69F2148A"/>
    <w:rsid w:val="69F55D01"/>
    <w:rsid w:val="69F93223"/>
    <w:rsid w:val="6A11122C"/>
    <w:rsid w:val="6A143367"/>
    <w:rsid w:val="6A145E00"/>
    <w:rsid w:val="6A193D7A"/>
    <w:rsid w:val="6A2322EE"/>
    <w:rsid w:val="6A257487"/>
    <w:rsid w:val="6A280CE4"/>
    <w:rsid w:val="6A285C06"/>
    <w:rsid w:val="6A2A5F02"/>
    <w:rsid w:val="6A2F3F03"/>
    <w:rsid w:val="6A3832AF"/>
    <w:rsid w:val="6A3C7CC8"/>
    <w:rsid w:val="6A3F27B9"/>
    <w:rsid w:val="6A404E3D"/>
    <w:rsid w:val="6A410176"/>
    <w:rsid w:val="6A434B44"/>
    <w:rsid w:val="6A4574D8"/>
    <w:rsid w:val="6A4B186F"/>
    <w:rsid w:val="6A605140"/>
    <w:rsid w:val="6A657204"/>
    <w:rsid w:val="6A6A2302"/>
    <w:rsid w:val="6A6B49F4"/>
    <w:rsid w:val="6A6D73CE"/>
    <w:rsid w:val="6A6E111C"/>
    <w:rsid w:val="6A7705A1"/>
    <w:rsid w:val="6A8433D2"/>
    <w:rsid w:val="6A863926"/>
    <w:rsid w:val="6A877233"/>
    <w:rsid w:val="6A882ECD"/>
    <w:rsid w:val="6A894FAF"/>
    <w:rsid w:val="6A8C136D"/>
    <w:rsid w:val="6A904C43"/>
    <w:rsid w:val="6A945F52"/>
    <w:rsid w:val="6A9840F9"/>
    <w:rsid w:val="6A9C5E39"/>
    <w:rsid w:val="6AA20740"/>
    <w:rsid w:val="6AA94C1A"/>
    <w:rsid w:val="6AAB2C7C"/>
    <w:rsid w:val="6AAD12D9"/>
    <w:rsid w:val="6AB602C2"/>
    <w:rsid w:val="6AB63510"/>
    <w:rsid w:val="6AB943EE"/>
    <w:rsid w:val="6AC032BC"/>
    <w:rsid w:val="6AC8092A"/>
    <w:rsid w:val="6AD06A6E"/>
    <w:rsid w:val="6AD8058D"/>
    <w:rsid w:val="6AE0794B"/>
    <w:rsid w:val="6AE1028F"/>
    <w:rsid w:val="6AE64F06"/>
    <w:rsid w:val="6AE76A8A"/>
    <w:rsid w:val="6AF84026"/>
    <w:rsid w:val="6B057C21"/>
    <w:rsid w:val="6B0700FD"/>
    <w:rsid w:val="6B0C3251"/>
    <w:rsid w:val="6B0D7E95"/>
    <w:rsid w:val="6B113EDC"/>
    <w:rsid w:val="6B121070"/>
    <w:rsid w:val="6B1226C9"/>
    <w:rsid w:val="6B241E45"/>
    <w:rsid w:val="6B2647A5"/>
    <w:rsid w:val="6B2A4845"/>
    <w:rsid w:val="6B32306F"/>
    <w:rsid w:val="6B341C41"/>
    <w:rsid w:val="6B35201A"/>
    <w:rsid w:val="6B4271B9"/>
    <w:rsid w:val="6B484B34"/>
    <w:rsid w:val="6B4C712F"/>
    <w:rsid w:val="6B501AD4"/>
    <w:rsid w:val="6B5743C8"/>
    <w:rsid w:val="6B582777"/>
    <w:rsid w:val="6B585012"/>
    <w:rsid w:val="6B593C44"/>
    <w:rsid w:val="6B5C47D5"/>
    <w:rsid w:val="6B6951C4"/>
    <w:rsid w:val="6B6B795B"/>
    <w:rsid w:val="6B6C155B"/>
    <w:rsid w:val="6B6D17D9"/>
    <w:rsid w:val="6B7553AF"/>
    <w:rsid w:val="6B777900"/>
    <w:rsid w:val="6B7A615E"/>
    <w:rsid w:val="6B7E0908"/>
    <w:rsid w:val="6B842643"/>
    <w:rsid w:val="6B8E6F7C"/>
    <w:rsid w:val="6B8E767A"/>
    <w:rsid w:val="6B923B2B"/>
    <w:rsid w:val="6B9429D1"/>
    <w:rsid w:val="6B98025A"/>
    <w:rsid w:val="6B9C3C63"/>
    <w:rsid w:val="6BA31A09"/>
    <w:rsid w:val="6BA75497"/>
    <w:rsid w:val="6BA9582F"/>
    <w:rsid w:val="6BAD2F74"/>
    <w:rsid w:val="6BB176F7"/>
    <w:rsid w:val="6BB17E5A"/>
    <w:rsid w:val="6BB35690"/>
    <w:rsid w:val="6BB455C1"/>
    <w:rsid w:val="6BB74227"/>
    <w:rsid w:val="6BBA66B5"/>
    <w:rsid w:val="6BBA68E4"/>
    <w:rsid w:val="6BBB4885"/>
    <w:rsid w:val="6BBE76E4"/>
    <w:rsid w:val="6BC9376F"/>
    <w:rsid w:val="6BD1009A"/>
    <w:rsid w:val="6BE0583E"/>
    <w:rsid w:val="6BE0639E"/>
    <w:rsid w:val="6BE444FA"/>
    <w:rsid w:val="6BE47E21"/>
    <w:rsid w:val="6BEC66EE"/>
    <w:rsid w:val="6BF07EAA"/>
    <w:rsid w:val="6BF14A0C"/>
    <w:rsid w:val="6BF20FB8"/>
    <w:rsid w:val="6C0537C8"/>
    <w:rsid w:val="6C084114"/>
    <w:rsid w:val="6C093B94"/>
    <w:rsid w:val="6C0F41E1"/>
    <w:rsid w:val="6C166603"/>
    <w:rsid w:val="6C267A02"/>
    <w:rsid w:val="6C29167F"/>
    <w:rsid w:val="6C2A6CEE"/>
    <w:rsid w:val="6C2B2504"/>
    <w:rsid w:val="6C2B4363"/>
    <w:rsid w:val="6C304F19"/>
    <w:rsid w:val="6C3053D9"/>
    <w:rsid w:val="6C356ABB"/>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5403A"/>
    <w:rsid w:val="6CB60C69"/>
    <w:rsid w:val="6CC42698"/>
    <w:rsid w:val="6CC557FD"/>
    <w:rsid w:val="6CC56A9C"/>
    <w:rsid w:val="6CC9612D"/>
    <w:rsid w:val="6CD9239F"/>
    <w:rsid w:val="6CDB1F23"/>
    <w:rsid w:val="6CE33F52"/>
    <w:rsid w:val="6CE3651E"/>
    <w:rsid w:val="6CE425FD"/>
    <w:rsid w:val="6CEC0B1B"/>
    <w:rsid w:val="6CEC3EFD"/>
    <w:rsid w:val="6CED120B"/>
    <w:rsid w:val="6CEE7B17"/>
    <w:rsid w:val="6CF36C4F"/>
    <w:rsid w:val="6CF543B5"/>
    <w:rsid w:val="6CF70AA0"/>
    <w:rsid w:val="6D071C15"/>
    <w:rsid w:val="6D0774BF"/>
    <w:rsid w:val="6D0D6024"/>
    <w:rsid w:val="6D0F2B02"/>
    <w:rsid w:val="6D140100"/>
    <w:rsid w:val="6D17790B"/>
    <w:rsid w:val="6D1A1781"/>
    <w:rsid w:val="6D1D04BB"/>
    <w:rsid w:val="6D1F26CE"/>
    <w:rsid w:val="6D2001F2"/>
    <w:rsid w:val="6D234A39"/>
    <w:rsid w:val="6D262378"/>
    <w:rsid w:val="6D276729"/>
    <w:rsid w:val="6D2D1778"/>
    <w:rsid w:val="6D322100"/>
    <w:rsid w:val="6D3771FC"/>
    <w:rsid w:val="6D3F47EE"/>
    <w:rsid w:val="6D402956"/>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27D4F"/>
    <w:rsid w:val="6D943E51"/>
    <w:rsid w:val="6D9A7415"/>
    <w:rsid w:val="6D9C4BDA"/>
    <w:rsid w:val="6D9F77B2"/>
    <w:rsid w:val="6DA22A3B"/>
    <w:rsid w:val="6DA71CDB"/>
    <w:rsid w:val="6DAD7B23"/>
    <w:rsid w:val="6DB43CBF"/>
    <w:rsid w:val="6DB65267"/>
    <w:rsid w:val="6DBE7C28"/>
    <w:rsid w:val="6DC32A73"/>
    <w:rsid w:val="6DC616C6"/>
    <w:rsid w:val="6DC869CE"/>
    <w:rsid w:val="6DC95CAA"/>
    <w:rsid w:val="6DCA662C"/>
    <w:rsid w:val="6DCE70D9"/>
    <w:rsid w:val="6DD54A74"/>
    <w:rsid w:val="6DE512BE"/>
    <w:rsid w:val="6DEA6AB1"/>
    <w:rsid w:val="6DEC6482"/>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1768B"/>
    <w:rsid w:val="6E56438B"/>
    <w:rsid w:val="6E566306"/>
    <w:rsid w:val="6E5F53C9"/>
    <w:rsid w:val="6E6A1EA2"/>
    <w:rsid w:val="6E6B1B2A"/>
    <w:rsid w:val="6E6D6DD6"/>
    <w:rsid w:val="6E7234C8"/>
    <w:rsid w:val="6E74290C"/>
    <w:rsid w:val="6E775B0D"/>
    <w:rsid w:val="6E7B4978"/>
    <w:rsid w:val="6E7C180A"/>
    <w:rsid w:val="6E8677E9"/>
    <w:rsid w:val="6E871FD2"/>
    <w:rsid w:val="6E8A6695"/>
    <w:rsid w:val="6E8D29C3"/>
    <w:rsid w:val="6E8F301E"/>
    <w:rsid w:val="6E8F6DAA"/>
    <w:rsid w:val="6E9060BF"/>
    <w:rsid w:val="6EAE21D1"/>
    <w:rsid w:val="6EB0265D"/>
    <w:rsid w:val="6EBC5748"/>
    <w:rsid w:val="6EBD58BA"/>
    <w:rsid w:val="6EBE3054"/>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17EC1"/>
    <w:rsid w:val="6F141EDD"/>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763AC"/>
    <w:rsid w:val="6FBA7AB0"/>
    <w:rsid w:val="6FBC4B72"/>
    <w:rsid w:val="6FC5311F"/>
    <w:rsid w:val="6FC93ABB"/>
    <w:rsid w:val="6FE06922"/>
    <w:rsid w:val="6FE11A6A"/>
    <w:rsid w:val="6FE91832"/>
    <w:rsid w:val="6FEC7139"/>
    <w:rsid w:val="6FF00E79"/>
    <w:rsid w:val="6FF15C82"/>
    <w:rsid w:val="6FFB18A6"/>
    <w:rsid w:val="6FFD13E7"/>
    <w:rsid w:val="70035B63"/>
    <w:rsid w:val="70084791"/>
    <w:rsid w:val="700B4CC3"/>
    <w:rsid w:val="700E3BD9"/>
    <w:rsid w:val="701B650B"/>
    <w:rsid w:val="70200403"/>
    <w:rsid w:val="70233697"/>
    <w:rsid w:val="702F7F84"/>
    <w:rsid w:val="704622D4"/>
    <w:rsid w:val="704E2703"/>
    <w:rsid w:val="7051307E"/>
    <w:rsid w:val="70513178"/>
    <w:rsid w:val="70515849"/>
    <w:rsid w:val="705D090C"/>
    <w:rsid w:val="705D0918"/>
    <w:rsid w:val="705E1C14"/>
    <w:rsid w:val="705E1EC1"/>
    <w:rsid w:val="705F0277"/>
    <w:rsid w:val="7060303C"/>
    <w:rsid w:val="706A1F04"/>
    <w:rsid w:val="706B024D"/>
    <w:rsid w:val="70711F9A"/>
    <w:rsid w:val="70764871"/>
    <w:rsid w:val="707A11BD"/>
    <w:rsid w:val="707C2F7E"/>
    <w:rsid w:val="7080762B"/>
    <w:rsid w:val="70812330"/>
    <w:rsid w:val="708223E4"/>
    <w:rsid w:val="70853B74"/>
    <w:rsid w:val="70971996"/>
    <w:rsid w:val="709A6CCB"/>
    <w:rsid w:val="709E3984"/>
    <w:rsid w:val="70A01528"/>
    <w:rsid w:val="70A45BDD"/>
    <w:rsid w:val="70A46FAF"/>
    <w:rsid w:val="70A535EC"/>
    <w:rsid w:val="70AF24D8"/>
    <w:rsid w:val="70B02DD4"/>
    <w:rsid w:val="70B172B5"/>
    <w:rsid w:val="70B17A12"/>
    <w:rsid w:val="70B41194"/>
    <w:rsid w:val="70BC7B39"/>
    <w:rsid w:val="70C01C60"/>
    <w:rsid w:val="70C14F6B"/>
    <w:rsid w:val="70C17302"/>
    <w:rsid w:val="70DA2493"/>
    <w:rsid w:val="70DC4BC5"/>
    <w:rsid w:val="70F22DF6"/>
    <w:rsid w:val="70F640FE"/>
    <w:rsid w:val="71060102"/>
    <w:rsid w:val="71067CCF"/>
    <w:rsid w:val="710B4A26"/>
    <w:rsid w:val="71101A19"/>
    <w:rsid w:val="711103AE"/>
    <w:rsid w:val="711528A0"/>
    <w:rsid w:val="71162D5A"/>
    <w:rsid w:val="711A1C3B"/>
    <w:rsid w:val="711E3A15"/>
    <w:rsid w:val="712C473E"/>
    <w:rsid w:val="7132011D"/>
    <w:rsid w:val="71326B1E"/>
    <w:rsid w:val="713A0B5B"/>
    <w:rsid w:val="71430411"/>
    <w:rsid w:val="71452CBD"/>
    <w:rsid w:val="71463FC2"/>
    <w:rsid w:val="7148016B"/>
    <w:rsid w:val="714A084D"/>
    <w:rsid w:val="714D78D3"/>
    <w:rsid w:val="71503CE7"/>
    <w:rsid w:val="7151270E"/>
    <w:rsid w:val="71536C22"/>
    <w:rsid w:val="71567F32"/>
    <w:rsid w:val="715E00B3"/>
    <w:rsid w:val="716004C4"/>
    <w:rsid w:val="716242AB"/>
    <w:rsid w:val="716D482E"/>
    <w:rsid w:val="716F72EE"/>
    <w:rsid w:val="7170516F"/>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CD4381"/>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A5507"/>
    <w:rsid w:val="71FC609A"/>
    <w:rsid w:val="71FD1D34"/>
    <w:rsid w:val="71FE2ACC"/>
    <w:rsid w:val="72015588"/>
    <w:rsid w:val="72087B85"/>
    <w:rsid w:val="720F3321"/>
    <w:rsid w:val="72116C3F"/>
    <w:rsid w:val="721360B9"/>
    <w:rsid w:val="72191DE7"/>
    <w:rsid w:val="721B79CD"/>
    <w:rsid w:val="721F2961"/>
    <w:rsid w:val="72212169"/>
    <w:rsid w:val="7226099D"/>
    <w:rsid w:val="722B6D3C"/>
    <w:rsid w:val="72314763"/>
    <w:rsid w:val="723A16A4"/>
    <w:rsid w:val="723B0B95"/>
    <w:rsid w:val="723B52B8"/>
    <w:rsid w:val="724A4324"/>
    <w:rsid w:val="724D6F66"/>
    <w:rsid w:val="72522723"/>
    <w:rsid w:val="72526D2A"/>
    <w:rsid w:val="725340BD"/>
    <w:rsid w:val="72542A36"/>
    <w:rsid w:val="72555383"/>
    <w:rsid w:val="725B002B"/>
    <w:rsid w:val="726373ED"/>
    <w:rsid w:val="726843AE"/>
    <w:rsid w:val="72751836"/>
    <w:rsid w:val="728A60B0"/>
    <w:rsid w:val="728B69E4"/>
    <w:rsid w:val="72930D42"/>
    <w:rsid w:val="72956586"/>
    <w:rsid w:val="729F0E66"/>
    <w:rsid w:val="72A31793"/>
    <w:rsid w:val="72A362B4"/>
    <w:rsid w:val="72A74552"/>
    <w:rsid w:val="72A83E80"/>
    <w:rsid w:val="72A86C15"/>
    <w:rsid w:val="72AF0B61"/>
    <w:rsid w:val="72B85A81"/>
    <w:rsid w:val="72BA03E7"/>
    <w:rsid w:val="72BD0170"/>
    <w:rsid w:val="72BD4C62"/>
    <w:rsid w:val="72BD6F4F"/>
    <w:rsid w:val="72C518F3"/>
    <w:rsid w:val="72C73F34"/>
    <w:rsid w:val="72C82B91"/>
    <w:rsid w:val="72C83A64"/>
    <w:rsid w:val="72C87A6B"/>
    <w:rsid w:val="72CA0320"/>
    <w:rsid w:val="72D04006"/>
    <w:rsid w:val="72D10367"/>
    <w:rsid w:val="72D34AA4"/>
    <w:rsid w:val="72D97928"/>
    <w:rsid w:val="72E34F8F"/>
    <w:rsid w:val="72E573A1"/>
    <w:rsid w:val="72E779D1"/>
    <w:rsid w:val="72EA3A09"/>
    <w:rsid w:val="7301303C"/>
    <w:rsid w:val="73024E04"/>
    <w:rsid w:val="730B0185"/>
    <w:rsid w:val="730B2912"/>
    <w:rsid w:val="73117F42"/>
    <w:rsid w:val="73130C07"/>
    <w:rsid w:val="731829E1"/>
    <w:rsid w:val="73266F63"/>
    <w:rsid w:val="732A69D2"/>
    <w:rsid w:val="732E73B4"/>
    <w:rsid w:val="732F0552"/>
    <w:rsid w:val="73353A9D"/>
    <w:rsid w:val="733574BF"/>
    <w:rsid w:val="733A4AF0"/>
    <w:rsid w:val="733E5133"/>
    <w:rsid w:val="73470963"/>
    <w:rsid w:val="734B783B"/>
    <w:rsid w:val="73606A76"/>
    <w:rsid w:val="73640D2D"/>
    <w:rsid w:val="73664C31"/>
    <w:rsid w:val="736F39A6"/>
    <w:rsid w:val="737773BC"/>
    <w:rsid w:val="73803D51"/>
    <w:rsid w:val="73825C14"/>
    <w:rsid w:val="738264F3"/>
    <w:rsid w:val="73833688"/>
    <w:rsid w:val="73847541"/>
    <w:rsid w:val="738B78DE"/>
    <w:rsid w:val="738C0199"/>
    <w:rsid w:val="738C333B"/>
    <w:rsid w:val="738E0824"/>
    <w:rsid w:val="738F3A55"/>
    <w:rsid w:val="739942FF"/>
    <w:rsid w:val="73A760F2"/>
    <w:rsid w:val="73B00CC3"/>
    <w:rsid w:val="73B06C67"/>
    <w:rsid w:val="73BD2509"/>
    <w:rsid w:val="73C55A94"/>
    <w:rsid w:val="73D63DCA"/>
    <w:rsid w:val="73DB761B"/>
    <w:rsid w:val="73DC5FD2"/>
    <w:rsid w:val="73DD45E1"/>
    <w:rsid w:val="73E1113D"/>
    <w:rsid w:val="73F84F1C"/>
    <w:rsid w:val="73FA0DAA"/>
    <w:rsid w:val="73FF104A"/>
    <w:rsid w:val="740A122A"/>
    <w:rsid w:val="740A13D9"/>
    <w:rsid w:val="740D2E53"/>
    <w:rsid w:val="74166CA8"/>
    <w:rsid w:val="74187EEC"/>
    <w:rsid w:val="741964A4"/>
    <w:rsid w:val="741C4A57"/>
    <w:rsid w:val="741E636C"/>
    <w:rsid w:val="741F4C05"/>
    <w:rsid w:val="742671F5"/>
    <w:rsid w:val="74272D85"/>
    <w:rsid w:val="74273B4A"/>
    <w:rsid w:val="742A50E0"/>
    <w:rsid w:val="743E46CE"/>
    <w:rsid w:val="74414A8B"/>
    <w:rsid w:val="74434686"/>
    <w:rsid w:val="74475FDB"/>
    <w:rsid w:val="744C7B5C"/>
    <w:rsid w:val="74502B4C"/>
    <w:rsid w:val="745211DA"/>
    <w:rsid w:val="7452351C"/>
    <w:rsid w:val="74551667"/>
    <w:rsid w:val="745B0E3C"/>
    <w:rsid w:val="74600ADB"/>
    <w:rsid w:val="746206FB"/>
    <w:rsid w:val="746A320B"/>
    <w:rsid w:val="746D577E"/>
    <w:rsid w:val="74703DFE"/>
    <w:rsid w:val="74704C1B"/>
    <w:rsid w:val="74770ADD"/>
    <w:rsid w:val="74781DB0"/>
    <w:rsid w:val="747C59B7"/>
    <w:rsid w:val="74891CF9"/>
    <w:rsid w:val="748B0C7D"/>
    <w:rsid w:val="74903C13"/>
    <w:rsid w:val="74957A0A"/>
    <w:rsid w:val="74A25A03"/>
    <w:rsid w:val="74AE2C50"/>
    <w:rsid w:val="74AE30E3"/>
    <w:rsid w:val="74AF19B2"/>
    <w:rsid w:val="74B33364"/>
    <w:rsid w:val="74B4717D"/>
    <w:rsid w:val="74B83167"/>
    <w:rsid w:val="74B91285"/>
    <w:rsid w:val="74BC376B"/>
    <w:rsid w:val="74BD3271"/>
    <w:rsid w:val="74BD448C"/>
    <w:rsid w:val="74C35A03"/>
    <w:rsid w:val="74C440A9"/>
    <w:rsid w:val="74C445B5"/>
    <w:rsid w:val="74C555D9"/>
    <w:rsid w:val="74CA6EF9"/>
    <w:rsid w:val="74CD2F54"/>
    <w:rsid w:val="74DD3E9F"/>
    <w:rsid w:val="74DE2ED9"/>
    <w:rsid w:val="74E13135"/>
    <w:rsid w:val="74E14727"/>
    <w:rsid w:val="74E158BB"/>
    <w:rsid w:val="74E47420"/>
    <w:rsid w:val="74E62473"/>
    <w:rsid w:val="74E73A39"/>
    <w:rsid w:val="74E95A90"/>
    <w:rsid w:val="74EA3EB2"/>
    <w:rsid w:val="74EE4294"/>
    <w:rsid w:val="74F07E0A"/>
    <w:rsid w:val="74F32A48"/>
    <w:rsid w:val="74F95012"/>
    <w:rsid w:val="7502115E"/>
    <w:rsid w:val="75054738"/>
    <w:rsid w:val="750842CC"/>
    <w:rsid w:val="75091147"/>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505F8"/>
    <w:rsid w:val="758641B8"/>
    <w:rsid w:val="75A70CB8"/>
    <w:rsid w:val="75AB5256"/>
    <w:rsid w:val="75B05DB1"/>
    <w:rsid w:val="75B43531"/>
    <w:rsid w:val="75B54E5D"/>
    <w:rsid w:val="75B921DA"/>
    <w:rsid w:val="75B96690"/>
    <w:rsid w:val="75C00ADE"/>
    <w:rsid w:val="75CA76E4"/>
    <w:rsid w:val="75D0763F"/>
    <w:rsid w:val="75DB1506"/>
    <w:rsid w:val="75DB5530"/>
    <w:rsid w:val="75E235E5"/>
    <w:rsid w:val="75E376A3"/>
    <w:rsid w:val="75E82B30"/>
    <w:rsid w:val="75ED1BDF"/>
    <w:rsid w:val="75ED5A36"/>
    <w:rsid w:val="75FB7495"/>
    <w:rsid w:val="75FC7D3B"/>
    <w:rsid w:val="75FE31D9"/>
    <w:rsid w:val="75FF0133"/>
    <w:rsid w:val="75FF226B"/>
    <w:rsid w:val="76003A09"/>
    <w:rsid w:val="760231B5"/>
    <w:rsid w:val="76036560"/>
    <w:rsid w:val="76082FFA"/>
    <w:rsid w:val="760A687D"/>
    <w:rsid w:val="760E0D7A"/>
    <w:rsid w:val="761025FD"/>
    <w:rsid w:val="76117E3A"/>
    <w:rsid w:val="76130B75"/>
    <w:rsid w:val="76192FD7"/>
    <w:rsid w:val="7619484E"/>
    <w:rsid w:val="761B102B"/>
    <w:rsid w:val="762012F3"/>
    <w:rsid w:val="762D216C"/>
    <w:rsid w:val="762F067E"/>
    <w:rsid w:val="76322CE8"/>
    <w:rsid w:val="76390A1A"/>
    <w:rsid w:val="763B0284"/>
    <w:rsid w:val="763E0B26"/>
    <w:rsid w:val="764833C3"/>
    <w:rsid w:val="764B7C87"/>
    <w:rsid w:val="764E6C91"/>
    <w:rsid w:val="765233FB"/>
    <w:rsid w:val="7659095E"/>
    <w:rsid w:val="765A2E54"/>
    <w:rsid w:val="765C20F6"/>
    <w:rsid w:val="765F3B6B"/>
    <w:rsid w:val="7669425E"/>
    <w:rsid w:val="766B3DFC"/>
    <w:rsid w:val="76710E80"/>
    <w:rsid w:val="767E302B"/>
    <w:rsid w:val="76823B6E"/>
    <w:rsid w:val="768542F9"/>
    <w:rsid w:val="769016B8"/>
    <w:rsid w:val="76932345"/>
    <w:rsid w:val="769F0579"/>
    <w:rsid w:val="76A35D52"/>
    <w:rsid w:val="76A5622D"/>
    <w:rsid w:val="76A633ED"/>
    <w:rsid w:val="76AB5F51"/>
    <w:rsid w:val="76B02504"/>
    <w:rsid w:val="76B576A3"/>
    <w:rsid w:val="76BF45A0"/>
    <w:rsid w:val="76C428B5"/>
    <w:rsid w:val="76C50EFA"/>
    <w:rsid w:val="76C87FBA"/>
    <w:rsid w:val="76D03D47"/>
    <w:rsid w:val="76D16B19"/>
    <w:rsid w:val="76D723E3"/>
    <w:rsid w:val="76DB3BA3"/>
    <w:rsid w:val="76E02C24"/>
    <w:rsid w:val="76E2168B"/>
    <w:rsid w:val="76E34A56"/>
    <w:rsid w:val="76E56D71"/>
    <w:rsid w:val="76E6140A"/>
    <w:rsid w:val="76ED7808"/>
    <w:rsid w:val="76F1454B"/>
    <w:rsid w:val="76F41B95"/>
    <w:rsid w:val="76F6139A"/>
    <w:rsid w:val="76FA7A7E"/>
    <w:rsid w:val="76FF75D2"/>
    <w:rsid w:val="770268CD"/>
    <w:rsid w:val="77050573"/>
    <w:rsid w:val="77066555"/>
    <w:rsid w:val="77067A75"/>
    <w:rsid w:val="7707185C"/>
    <w:rsid w:val="770760C1"/>
    <w:rsid w:val="770A715A"/>
    <w:rsid w:val="770C2EAD"/>
    <w:rsid w:val="77111055"/>
    <w:rsid w:val="77140ED4"/>
    <w:rsid w:val="7717373F"/>
    <w:rsid w:val="77175639"/>
    <w:rsid w:val="77187B86"/>
    <w:rsid w:val="772C5306"/>
    <w:rsid w:val="772D352E"/>
    <w:rsid w:val="7733773C"/>
    <w:rsid w:val="7734057D"/>
    <w:rsid w:val="77343121"/>
    <w:rsid w:val="77355E6E"/>
    <w:rsid w:val="77382BBE"/>
    <w:rsid w:val="77383244"/>
    <w:rsid w:val="773B28CF"/>
    <w:rsid w:val="7743602C"/>
    <w:rsid w:val="77443794"/>
    <w:rsid w:val="77452A9A"/>
    <w:rsid w:val="77453002"/>
    <w:rsid w:val="77492C03"/>
    <w:rsid w:val="774F423A"/>
    <w:rsid w:val="774F7910"/>
    <w:rsid w:val="7756714D"/>
    <w:rsid w:val="77597E3E"/>
    <w:rsid w:val="77625740"/>
    <w:rsid w:val="77663281"/>
    <w:rsid w:val="7769549F"/>
    <w:rsid w:val="776C70D2"/>
    <w:rsid w:val="7770508C"/>
    <w:rsid w:val="77711C62"/>
    <w:rsid w:val="777224B9"/>
    <w:rsid w:val="777C4D24"/>
    <w:rsid w:val="778807C6"/>
    <w:rsid w:val="77883832"/>
    <w:rsid w:val="7789361D"/>
    <w:rsid w:val="778D3458"/>
    <w:rsid w:val="77905FA2"/>
    <w:rsid w:val="779B111F"/>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C62B7"/>
    <w:rsid w:val="781D006F"/>
    <w:rsid w:val="781F2405"/>
    <w:rsid w:val="78213084"/>
    <w:rsid w:val="78213648"/>
    <w:rsid w:val="782424D5"/>
    <w:rsid w:val="78287DBF"/>
    <w:rsid w:val="782F5A83"/>
    <w:rsid w:val="78305E38"/>
    <w:rsid w:val="783328A6"/>
    <w:rsid w:val="78367F27"/>
    <w:rsid w:val="783A64F7"/>
    <w:rsid w:val="783C4C63"/>
    <w:rsid w:val="783F1D19"/>
    <w:rsid w:val="78475B1A"/>
    <w:rsid w:val="784B2E74"/>
    <w:rsid w:val="784B346B"/>
    <w:rsid w:val="78504A7B"/>
    <w:rsid w:val="78520561"/>
    <w:rsid w:val="78531BDB"/>
    <w:rsid w:val="785364C5"/>
    <w:rsid w:val="78556E52"/>
    <w:rsid w:val="785E2773"/>
    <w:rsid w:val="785F6878"/>
    <w:rsid w:val="78631B96"/>
    <w:rsid w:val="78682E27"/>
    <w:rsid w:val="786B2A6C"/>
    <w:rsid w:val="786C5E43"/>
    <w:rsid w:val="786E7579"/>
    <w:rsid w:val="786F0A89"/>
    <w:rsid w:val="787B626A"/>
    <w:rsid w:val="787E78CF"/>
    <w:rsid w:val="78842FF3"/>
    <w:rsid w:val="7889168E"/>
    <w:rsid w:val="78932A56"/>
    <w:rsid w:val="78957160"/>
    <w:rsid w:val="7897387D"/>
    <w:rsid w:val="78996993"/>
    <w:rsid w:val="789F05FD"/>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8F453DD"/>
    <w:rsid w:val="78F859A2"/>
    <w:rsid w:val="79001ACD"/>
    <w:rsid w:val="790031ED"/>
    <w:rsid w:val="79076642"/>
    <w:rsid w:val="79096DCA"/>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51F4D"/>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9FF5C22"/>
    <w:rsid w:val="7A0122FF"/>
    <w:rsid w:val="7A032AFE"/>
    <w:rsid w:val="7A040ABA"/>
    <w:rsid w:val="7A0419AF"/>
    <w:rsid w:val="7A082751"/>
    <w:rsid w:val="7A0D5316"/>
    <w:rsid w:val="7A11253B"/>
    <w:rsid w:val="7A166942"/>
    <w:rsid w:val="7A193AE2"/>
    <w:rsid w:val="7A1B5E2F"/>
    <w:rsid w:val="7A217A72"/>
    <w:rsid w:val="7A271139"/>
    <w:rsid w:val="7A2A7675"/>
    <w:rsid w:val="7A2E55FD"/>
    <w:rsid w:val="7A387FFB"/>
    <w:rsid w:val="7A3B0948"/>
    <w:rsid w:val="7A3E47B4"/>
    <w:rsid w:val="7A3F1642"/>
    <w:rsid w:val="7A4B5056"/>
    <w:rsid w:val="7A522AD8"/>
    <w:rsid w:val="7A541CDF"/>
    <w:rsid w:val="7A541EB0"/>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622F4"/>
    <w:rsid w:val="7A98127B"/>
    <w:rsid w:val="7A986E23"/>
    <w:rsid w:val="7A9E48D6"/>
    <w:rsid w:val="7AAA7146"/>
    <w:rsid w:val="7AAC5FCE"/>
    <w:rsid w:val="7AB01B53"/>
    <w:rsid w:val="7AB02E81"/>
    <w:rsid w:val="7AB15233"/>
    <w:rsid w:val="7AB23B17"/>
    <w:rsid w:val="7AB53955"/>
    <w:rsid w:val="7AB546E6"/>
    <w:rsid w:val="7AB67A58"/>
    <w:rsid w:val="7ABB6B96"/>
    <w:rsid w:val="7ABD44B1"/>
    <w:rsid w:val="7AC21F5F"/>
    <w:rsid w:val="7AC33BB3"/>
    <w:rsid w:val="7AC4137C"/>
    <w:rsid w:val="7AC468AD"/>
    <w:rsid w:val="7AC66B15"/>
    <w:rsid w:val="7AC94F89"/>
    <w:rsid w:val="7ACB0E71"/>
    <w:rsid w:val="7ACD4707"/>
    <w:rsid w:val="7ACF2853"/>
    <w:rsid w:val="7AD401E0"/>
    <w:rsid w:val="7AD708B3"/>
    <w:rsid w:val="7AD75770"/>
    <w:rsid w:val="7AD85698"/>
    <w:rsid w:val="7ADD46BB"/>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13087"/>
    <w:rsid w:val="7B4B4A95"/>
    <w:rsid w:val="7B561941"/>
    <w:rsid w:val="7B584E52"/>
    <w:rsid w:val="7B5B06E6"/>
    <w:rsid w:val="7B61362C"/>
    <w:rsid w:val="7B7501AD"/>
    <w:rsid w:val="7B78034A"/>
    <w:rsid w:val="7B8D7752"/>
    <w:rsid w:val="7B8E37DE"/>
    <w:rsid w:val="7B8F47C7"/>
    <w:rsid w:val="7B914B96"/>
    <w:rsid w:val="7B927B14"/>
    <w:rsid w:val="7B950516"/>
    <w:rsid w:val="7B9567A9"/>
    <w:rsid w:val="7B9A7554"/>
    <w:rsid w:val="7B9E2E81"/>
    <w:rsid w:val="7BA051CC"/>
    <w:rsid w:val="7BAB3008"/>
    <w:rsid w:val="7BAB4D2A"/>
    <w:rsid w:val="7BB55C27"/>
    <w:rsid w:val="7BBA1EAE"/>
    <w:rsid w:val="7BC43B6B"/>
    <w:rsid w:val="7BC85C15"/>
    <w:rsid w:val="7BC865B3"/>
    <w:rsid w:val="7BCD7FFB"/>
    <w:rsid w:val="7BCF1DE2"/>
    <w:rsid w:val="7BCF5CA9"/>
    <w:rsid w:val="7BD43E2F"/>
    <w:rsid w:val="7BD46237"/>
    <w:rsid w:val="7BD556F2"/>
    <w:rsid w:val="7BD775C3"/>
    <w:rsid w:val="7BDA0029"/>
    <w:rsid w:val="7BDB6D18"/>
    <w:rsid w:val="7BDF4097"/>
    <w:rsid w:val="7BDF5802"/>
    <w:rsid w:val="7BE56E02"/>
    <w:rsid w:val="7BEE3959"/>
    <w:rsid w:val="7BF61E0D"/>
    <w:rsid w:val="7BF767B2"/>
    <w:rsid w:val="7C0049AF"/>
    <w:rsid w:val="7C015B29"/>
    <w:rsid w:val="7C034052"/>
    <w:rsid w:val="7C037B02"/>
    <w:rsid w:val="7C0865E1"/>
    <w:rsid w:val="7C0A1089"/>
    <w:rsid w:val="7C0C662D"/>
    <w:rsid w:val="7C0E626D"/>
    <w:rsid w:val="7C104868"/>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216F"/>
    <w:rsid w:val="7C6D473C"/>
    <w:rsid w:val="7C6F0C97"/>
    <w:rsid w:val="7C7147EA"/>
    <w:rsid w:val="7C746B62"/>
    <w:rsid w:val="7C7927CE"/>
    <w:rsid w:val="7C7B511D"/>
    <w:rsid w:val="7C7C0AB7"/>
    <w:rsid w:val="7C7C3178"/>
    <w:rsid w:val="7C7E4097"/>
    <w:rsid w:val="7C7F218D"/>
    <w:rsid w:val="7C833326"/>
    <w:rsid w:val="7C8B4BD5"/>
    <w:rsid w:val="7C90608C"/>
    <w:rsid w:val="7C997B87"/>
    <w:rsid w:val="7CA302E7"/>
    <w:rsid w:val="7CB55EE5"/>
    <w:rsid w:val="7CB93D1E"/>
    <w:rsid w:val="7CBC4622"/>
    <w:rsid w:val="7CBD1EA8"/>
    <w:rsid w:val="7CC64DC3"/>
    <w:rsid w:val="7CD070AA"/>
    <w:rsid w:val="7CD215D3"/>
    <w:rsid w:val="7CD258A4"/>
    <w:rsid w:val="7CDC38F8"/>
    <w:rsid w:val="7CF82FD7"/>
    <w:rsid w:val="7CF962FF"/>
    <w:rsid w:val="7CF97B72"/>
    <w:rsid w:val="7D003EBD"/>
    <w:rsid w:val="7D0330E2"/>
    <w:rsid w:val="7D062AC2"/>
    <w:rsid w:val="7D114EC3"/>
    <w:rsid w:val="7D11738B"/>
    <w:rsid w:val="7D130380"/>
    <w:rsid w:val="7D152E85"/>
    <w:rsid w:val="7D18676F"/>
    <w:rsid w:val="7D1D06F9"/>
    <w:rsid w:val="7D1E7F20"/>
    <w:rsid w:val="7D2023AD"/>
    <w:rsid w:val="7D2174C4"/>
    <w:rsid w:val="7D276960"/>
    <w:rsid w:val="7D2A532B"/>
    <w:rsid w:val="7D2F0219"/>
    <w:rsid w:val="7D303C80"/>
    <w:rsid w:val="7D341BC8"/>
    <w:rsid w:val="7D3A76BB"/>
    <w:rsid w:val="7D405AA6"/>
    <w:rsid w:val="7D4318CF"/>
    <w:rsid w:val="7D436EF5"/>
    <w:rsid w:val="7D4C7CE9"/>
    <w:rsid w:val="7D512D55"/>
    <w:rsid w:val="7D5709AE"/>
    <w:rsid w:val="7D5E2E71"/>
    <w:rsid w:val="7D6940E5"/>
    <w:rsid w:val="7D6F5BF1"/>
    <w:rsid w:val="7D785216"/>
    <w:rsid w:val="7D7D670C"/>
    <w:rsid w:val="7D853EBF"/>
    <w:rsid w:val="7D855A63"/>
    <w:rsid w:val="7D876E57"/>
    <w:rsid w:val="7D8974D4"/>
    <w:rsid w:val="7D8B3828"/>
    <w:rsid w:val="7D8F2AC0"/>
    <w:rsid w:val="7D976231"/>
    <w:rsid w:val="7D97639E"/>
    <w:rsid w:val="7D9C3DFE"/>
    <w:rsid w:val="7D9D4392"/>
    <w:rsid w:val="7DA4255A"/>
    <w:rsid w:val="7DA74CE2"/>
    <w:rsid w:val="7DAC5BC5"/>
    <w:rsid w:val="7DAE55D4"/>
    <w:rsid w:val="7DC55AE8"/>
    <w:rsid w:val="7DC932A8"/>
    <w:rsid w:val="7DCB1677"/>
    <w:rsid w:val="7DCE7A95"/>
    <w:rsid w:val="7DD4550C"/>
    <w:rsid w:val="7DD85DBE"/>
    <w:rsid w:val="7DDA4118"/>
    <w:rsid w:val="7DDB237C"/>
    <w:rsid w:val="7DE750D0"/>
    <w:rsid w:val="7DE8415F"/>
    <w:rsid w:val="7DEB13EA"/>
    <w:rsid w:val="7DF50967"/>
    <w:rsid w:val="7DF742E6"/>
    <w:rsid w:val="7DFC489D"/>
    <w:rsid w:val="7E0E68FC"/>
    <w:rsid w:val="7E0F3EA6"/>
    <w:rsid w:val="7E1246DB"/>
    <w:rsid w:val="7E165F0E"/>
    <w:rsid w:val="7E1C5729"/>
    <w:rsid w:val="7E1D0F6C"/>
    <w:rsid w:val="7E20169A"/>
    <w:rsid w:val="7E274023"/>
    <w:rsid w:val="7E282FFE"/>
    <w:rsid w:val="7E2B327F"/>
    <w:rsid w:val="7E2C5940"/>
    <w:rsid w:val="7E2D5152"/>
    <w:rsid w:val="7E3508C6"/>
    <w:rsid w:val="7E386871"/>
    <w:rsid w:val="7E3A049A"/>
    <w:rsid w:val="7E400FA8"/>
    <w:rsid w:val="7E423A55"/>
    <w:rsid w:val="7E47196B"/>
    <w:rsid w:val="7E475129"/>
    <w:rsid w:val="7E513896"/>
    <w:rsid w:val="7E517747"/>
    <w:rsid w:val="7E572DD3"/>
    <w:rsid w:val="7E620822"/>
    <w:rsid w:val="7E6931CF"/>
    <w:rsid w:val="7E6D71D1"/>
    <w:rsid w:val="7E7437F7"/>
    <w:rsid w:val="7E822269"/>
    <w:rsid w:val="7E890506"/>
    <w:rsid w:val="7E8B5212"/>
    <w:rsid w:val="7E8B5C41"/>
    <w:rsid w:val="7E8C0FAB"/>
    <w:rsid w:val="7E8E63BD"/>
    <w:rsid w:val="7E971EC6"/>
    <w:rsid w:val="7E986288"/>
    <w:rsid w:val="7E997CE1"/>
    <w:rsid w:val="7EA13A5A"/>
    <w:rsid w:val="7EA43F40"/>
    <w:rsid w:val="7EA666C5"/>
    <w:rsid w:val="7EAB22F4"/>
    <w:rsid w:val="7EAE2D53"/>
    <w:rsid w:val="7EB22177"/>
    <w:rsid w:val="7EB7057B"/>
    <w:rsid w:val="7EB913D1"/>
    <w:rsid w:val="7EC10E27"/>
    <w:rsid w:val="7EC92461"/>
    <w:rsid w:val="7ECD65C3"/>
    <w:rsid w:val="7ED7579C"/>
    <w:rsid w:val="7ED91764"/>
    <w:rsid w:val="7ED92D9B"/>
    <w:rsid w:val="7EDB6324"/>
    <w:rsid w:val="7EDF411C"/>
    <w:rsid w:val="7EE06063"/>
    <w:rsid w:val="7EE32EA1"/>
    <w:rsid w:val="7EE85E1A"/>
    <w:rsid w:val="7EE9267A"/>
    <w:rsid w:val="7EF96858"/>
    <w:rsid w:val="7EFD09E8"/>
    <w:rsid w:val="7EFE452B"/>
    <w:rsid w:val="7F007AB1"/>
    <w:rsid w:val="7F016D3A"/>
    <w:rsid w:val="7F032E41"/>
    <w:rsid w:val="7F042CED"/>
    <w:rsid w:val="7F054619"/>
    <w:rsid w:val="7F0B3EAA"/>
    <w:rsid w:val="7F1026DA"/>
    <w:rsid w:val="7F145629"/>
    <w:rsid w:val="7F1634AE"/>
    <w:rsid w:val="7F2371D0"/>
    <w:rsid w:val="7F25457C"/>
    <w:rsid w:val="7F3C2189"/>
    <w:rsid w:val="7F3C3603"/>
    <w:rsid w:val="7F3C394C"/>
    <w:rsid w:val="7F563140"/>
    <w:rsid w:val="7F5A4239"/>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57EC9"/>
    <w:rsid w:val="7FAD3C21"/>
    <w:rsid w:val="7FB1043A"/>
    <w:rsid w:val="7FB24452"/>
    <w:rsid w:val="7FBA238A"/>
    <w:rsid w:val="7FBA548C"/>
    <w:rsid w:val="7FBC6422"/>
    <w:rsid w:val="7FBD5C2C"/>
    <w:rsid w:val="7FBE4755"/>
    <w:rsid w:val="7FBE785A"/>
    <w:rsid w:val="7FC331C5"/>
    <w:rsid w:val="7FC37A5B"/>
    <w:rsid w:val="7FC46393"/>
    <w:rsid w:val="7FC478B7"/>
    <w:rsid w:val="7FC622EC"/>
    <w:rsid w:val="7FC83CB0"/>
    <w:rsid w:val="7FCE31F6"/>
    <w:rsid w:val="7FDC2BA3"/>
    <w:rsid w:val="7FDD1879"/>
    <w:rsid w:val="7FE64B17"/>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5"/>
    <w:qFormat/>
    <w:uiPriority w:val="0"/>
    <w:pPr>
      <w:keepNext/>
      <w:keepLines/>
      <w:numPr>
        <w:ilvl w:val="1"/>
      </w:numPr>
      <w:spacing w:before="260" w:after="260" w:line="416" w:lineRule="auto"/>
      <w:outlineLvl w:val="1"/>
    </w:pPr>
    <w:rPr>
      <w:rFonts w:ascii="Times New Roman" w:hAnsi="Times New Roman"/>
      <w:sz w:val="32"/>
      <w:szCs w:val="32"/>
    </w:rPr>
  </w:style>
  <w:style w:type="paragraph" w:styleId="4">
    <w:name w:val="heading 3"/>
    <w:basedOn w:val="3"/>
    <w:next w:val="1"/>
    <w:link w:val="46"/>
    <w:unhideWhenUsed/>
    <w:qFormat/>
    <w:uiPriority w:val="9"/>
    <w:pPr>
      <w:numPr>
        <w:ilvl w:val="2"/>
      </w:numPr>
      <w:snapToGrid w:val="0"/>
      <w:spacing w:line="240" w:lineRule="auto"/>
      <w:ind w:left="0" w:firstLine="221" w:firstLineChars="100"/>
      <w:jc w:val="both"/>
      <w:outlineLvl w:val="2"/>
    </w:pPr>
    <w:rPr>
      <w:sz w:val="24"/>
    </w:rPr>
  </w:style>
  <w:style w:type="paragraph" w:styleId="5">
    <w:name w:val="heading 4"/>
    <w:basedOn w:val="4"/>
    <w:next w:val="1"/>
    <w:link w:val="65"/>
    <w:qFormat/>
    <w:uiPriority w:val="0"/>
    <w:pPr>
      <w:numPr>
        <w:ilvl w:val="3"/>
      </w:numPr>
      <w:overflowPunct w:val="0"/>
      <w:spacing w:after="0"/>
      <w:textAlignment w:val="baseline"/>
      <w:outlineLvl w:val="3"/>
    </w:pPr>
    <w:rPr>
      <w:sz w:val="28"/>
      <w:szCs w:val="28"/>
      <w:lang w:val="en-GB"/>
    </w:rPr>
  </w:style>
  <w:style w:type="paragraph" w:styleId="6">
    <w:name w:val="heading 5"/>
    <w:basedOn w:val="5"/>
    <w:next w:val="1"/>
    <w:link w:val="66"/>
    <w:qFormat/>
    <w:uiPriority w:val="0"/>
    <w:pPr>
      <w:numPr>
        <w:ilvl w:val="4"/>
      </w:num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2"/>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40"/>
    <w:unhideWhenUsed/>
    <w:qFormat/>
    <w:uiPriority w:val="99"/>
    <w:rPr>
      <w:rFonts w:ascii="宋体"/>
      <w:sz w:val="18"/>
      <w:szCs w:val="18"/>
    </w:rPr>
  </w:style>
  <w:style w:type="paragraph" w:styleId="17">
    <w:name w:val="annotation text"/>
    <w:basedOn w:val="1"/>
    <w:link w:val="38"/>
    <w:unhideWhenUsed/>
    <w:qFormat/>
    <w:uiPriority w:val="99"/>
    <w:rPr>
      <w:sz w:val="20"/>
      <w:szCs w:val="20"/>
    </w:rPr>
  </w:style>
  <w:style w:type="paragraph" w:styleId="18">
    <w:name w:val="Body Text"/>
    <w:basedOn w:val="1"/>
    <w:link w:val="41"/>
    <w:qFormat/>
    <w:uiPriority w:val="0"/>
    <w:pPr>
      <w:widowControl w:val="0"/>
      <w:spacing w:after="0" w:line="240" w:lineRule="auto"/>
      <w:jc w:val="both"/>
    </w:pPr>
    <w:rPr>
      <w:rFonts w:ascii="Times New Roman" w:hAnsi="Times New Roman"/>
      <w:color w:val="0000FF"/>
      <w:kern w:val="2"/>
      <w:sz w:val="21"/>
      <w:szCs w:val="20"/>
    </w:rPr>
  </w:style>
  <w:style w:type="paragraph" w:styleId="19">
    <w:name w:val="Body Text Indent"/>
    <w:basedOn w:val="1"/>
    <w:link w:val="73"/>
    <w:unhideWhenUsed/>
    <w:qFormat/>
    <w:uiPriority w:val="99"/>
    <w:pPr>
      <w:spacing w:after="120"/>
      <w:ind w:left="360"/>
    </w:pPr>
  </w:style>
  <w:style w:type="paragraph" w:styleId="20">
    <w:name w:val="Plain Text"/>
    <w:basedOn w:val="1"/>
    <w:link w:val="59"/>
    <w:unhideWhenUsed/>
    <w:qFormat/>
    <w:uiPriority w:val="99"/>
    <w:pPr>
      <w:spacing w:after="0" w:line="240" w:lineRule="auto"/>
    </w:pPr>
    <w:rPr>
      <w:rFonts w:eastAsia="Calibri"/>
      <w:szCs w:val="21"/>
      <w:lang w:val="en-GB" w:eastAsia="en-US"/>
    </w:rPr>
  </w:style>
  <w:style w:type="paragraph" w:styleId="21">
    <w:name w:val="Date"/>
    <w:basedOn w:val="1"/>
    <w:next w:val="1"/>
    <w:link w:val="53"/>
    <w:unhideWhenUsed/>
    <w:qFormat/>
    <w:uiPriority w:val="99"/>
    <w:pPr>
      <w:ind w:left="100" w:leftChars="2500"/>
    </w:pPr>
  </w:style>
  <w:style w:type="paragraph" w:styleId="22">
    <w:name w:val="Balloon Text"/>
    <w:basedOn w:val="1"/>
    <w:link w:val="34"/>
    <w:unhideWhenUsed/>
    <w:qFormat/>
    <w:uiPriority w:val="99"/>
    <w:pPr>
      <w:spacing w:after="0" w:line="240" w:lineRule="auto"/>
    </w:pPr>
    <w:rPr>
      <w:rFonts w:ascii="Tahoma" w:hAnsi="Tahoma"/>
      <w:sz w:val="16"/>
      <w:szCs w:val="16"/>
    </w:rPr>
  </w:style>
  <w:style w:type="paragraph" w:styleId="23">
    <w:name w:val="footer"/>
    <w:basedOn w:val="1"/>
    <w:link w:val="44"/>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7"/>
    <w:next w:val="17"/>
    <w:link w:val="39"/>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unhideWhenUsed/>
    <w:qFormat/>
    <w:uiPriority w:val="99"/>
    <w:rPr>
      <w:rFonts w:hint="default"/>
      <w:sz w:val="24"/>
    </w:rPr>
  </w:style>
  <w:style w:type="character" w:styleId="31">
    <w:name w:val="FollowedHyperlink"/>
    <w:basedOn w:val="29"/>
    <w:semiHidden/>
    <w:unhideWhenUsed/>
    <w:qFormat/>
    <w:uiPriority w:val="99"/>
    <w:rPr>
      <w:color w:val="800080" w:themeColor="followedHyperlink"/>
      <w:u w:val="single"/>
      <w14:textFill>
        <w14:solidFill>
          <w14:schemeClr w14:val="folHlink"/>
        </w14:solidFill>
      </w14:textFill>
    </w:rPr>
  </w:style>
  <w:style w:type="character" w:styleId="32">
    <w:name w:val="Hyperlink"/>
    <w:unhideWhenUsed/>
    <w:qFormat/>
    <w:uiPriority w:val="99"/>
    <w:rPr>
      <w:color w:val="0000FF"/>
      <w:u w:val="single"/>
    </w:rPr>
  </w:style>
  <w:style w:type="character" w:styleId="33">
    <w:name w:val="annotation reference"/>
    <w:basedOn w:val="29"/>
    <w:unhideWhenUsed/>
    <w:qFormat/>
    <w:uiPriority w:val="99"/>
    <w:rPr>
      <w:sz w:val="16"/>
      <w:szCs w:val="16"/>
    </w:rPr>
  </w:style>
  <w:style w:type="character" w:customStyle="1" w:styleId="34">
    <w:name w:val="批注框文本 字符"/>
    <w:link w:val="22"/>
    <w:semiHidden/>
    <w:qFormat/>
    <w:uiPriority w:val="99"/>
    <w:rPr>
      <w:rFonts w:ascii="Tahoma" w:hAnsi="Tahoma" w:cs="Tahoma"/>
      <w:sz w:val="16"/>
      <w:szCs w:val="16"/>
    </w:rPr>
  </w:style>
  <w:style w:type="character" w:customStyle="1" w:styleId="35">
    <w:name w:val="标题 1 字符"/>
    <w:link w:val="2"/>
    <w:qFormat/>
    <w:uiPriority w:val="0"/>
    <w:rPr>
      <w:rFonts w:ascii="Arial" w:hAnsi="Arial" w:eastAsia="黑体"/>
      <w:b/>
      <w:bCs/>
      <w:sz w:val="30"/>
      <w:szCs w:val="30"/>
      <w:lang w:val="zh-CN"/>
    </w:rPr>
  </w:style>
  <w:style w:type="character" w:customStyle="1" w:styleId="36">
    <w:name w:val="页眉 字符"/>
    <w:link w:val="24"/>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8">
    <w:name w:val="批注文字 字符"/>
    <w:basedOn w:val="29"/>
    <w:link w:val="17"/>
    <w:qFormat/>
    <w:uiPriority w:val="99"/>
  </w:style>
  <w:style w:type="character" w:customStyle="1" w:styleId="39">
    <w:name w:val="批注主题 字符"/>
    <w:link w:val="26"/>
    <w:semiHidden/>
    <w:qFormat/>
    <w:uiPriority w:val="99"/>
    <w:rPr>
      <w:b/>
      <w:bCs/>
    </w:rPr>
  </w:style>
  <w:style w:type="character" w:customStyle="1" w:styleId="40">
    <w:name w:val="文档结构图 字符"/>
    <w:link w:val="16"/>
    <w:semiHidden/>
    <w:qFormat/>
    <w:uiPriority w:val="99"/>
    <w:rPr>
      <w:rFonts w:ascii="宋体"/>
      <w:sz w:val="18"/>
      <w:szCs w:val="18"/>
    </w:rPr>
  </w:style>
  <w:style w:type="character" w:customStyle="1" w:styleId="41">
    <w:name w:val="正文文本 字符"/>
    <w:link w:val="18"/>
    <w:qFormat/>
    <w:uiPriority w:val="0"/>
    <w:rPr>
      <w:rFonts w:ascii="Times New Roman" w:hAnsi="Times New Roman"/>
      <w:color w:val="0000FF"/>
      <w:kern w:val="2"/>
      <w:sz w:val="21"/>
    </w:rPr>
  </w:style>
  <w:style w:type="character" w:customStyle="1" w:styleId="42">
    <w:name w:val="题注 字符"/>
    <w:link w:val="15"/>
    <w:qFormat/>
    <w:uiPriority w:val="0"/>
    <w:rPr>
      <w:rFonts w:ascii="Times New Roman" w:hAnsi="Times New Roman" w:eastAsiaTheme="minorEastAsia"/>
      <w:b/>
      <w:bCs/>
      <w:lang w:val="en-GB" w:eastAsia="sv-SE"/>
    </w:rPr>
  </w:style>
  <w:style w:type="paragraph" w:customStyle="1" w:styleId="43">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4">
    <w:name w:val="页脚 字符"/>
    <w:link w:val="23"/>
    <w:qFormat/>
    <w:uiPriority w:val="99"/>
    <w:rPr>
      <w:sz w:val="18"/>
      <w:szCs w:val="18"/>
    </w:rPr>
  </w:style>
  <w:style w:type="character" w:customStyle="1" w:styleId="45">
    <w:name w:val="标题 2 字符"/>
    <w:link w:val="3"/>
    <w:qFormat/>
    <w:uiPriority w:val="0"/>
    <w:rPr>
      <w:rFonts w:ascii="Times New Roman" w:hAnsi="Times New Roman" w:eastAsiaTheme="minorEastAsia"/>
      <w:b/>
      <w:bCs/>
      <w:sz w:val="32"/>
      <w:szCs w:val="32"/>
      <w:lang w:val="en-US" w:eastAsia="zh-CN"/>
    </w:rPr>
  </w:style>
  <w:style w:type="character" w:customStyle="1" w:styleId="46">
    <w:name w:val="标题 3 字符"/>
    <w:link w:val="4"/>
    <w:semiHidden/>
    <w:qFormat/>
    <w:uiPriority w:val="9"/>
    <w:rPr>
      <w:rFonts w:ascii="Times New Roman" w:hAnsi="Times New Roman" w:eastAsiaTheme="minorEastAsia"/>
      <w:b/>
      <w:bCs/>
      <w:sz w:val="24"/>
      <w:szCs w:val="32"/>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9"/>
    <w:qFormat/>
    <w:uiPriority w:val="0"/>
  </w:style>
  <w:style w:type="paragraph" w:customStyle="1" w:styleId="51">
    <w:name w:val="z-Bottom of Form1"/>
    <w:basedOn w:val="1"/>
    <w:next w:val="1"/>
    <w:link w:val="52"/>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character" w:customStyle="1" w:styleId="53">
    <w:name w:val="日期 字符"/>
    <w:link w:val="21"/>
    <w:semiHidden/>
    <w:qFormat/>
    <w:uiPriority w:val="99"/>
    <w:rPr>
      <w:sz w:val="22"/>
      <w:szCs w:val="22"/>
    </w:rPr>
  </w:style>
  <w:style w:type="paragraph" w:customStyle="1" w:styleId="54">
    <w:name w:val="List Paragraph1"/>
    <w:basedOn w:val="1"/>
    <w:link w:val="68"/>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7">
    <w:name w:val="short_text"/>
    <w:basedOn w:val="29"/>
    <w:qFormat/>
    <w:uiPriority w:val="0"/>
  </w:style>
  <w:style w:type="paragraph" w:customStyle="1" w:styleId="58">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9">
    <w:name w:val="纯文本 字符"/>
    <w:link w:val="20"/>
    <w:qFormat/>
    <w:uiPriority w:val="99"/>
    <w:rPr>
      <w:rFonts w:eastAsia="Calibri"/>
      <w:sz w:val="22"/>
      <w:szCs w:val="21"/>
      <w:lang w:val="en-GB" w:eastAsia="en-US"/>
    </w:rPr>
  </w:style>
  <w:style w:type="paragraph" w:customStyle="1" w:styleId="60">
    <w:name w:val="TAH"/>
    <w:basedOn w:val="61"/>
    <w:link w:val="81"/>
    <w:qFormat/>
    <w:uiPriority w:val="0"/>
    <w:rPr>
      <w:b/>
    </w:rPr>
  </w:style>
  <w:style w:type="paragraph" w:customStyle="1" w:styleId="61">
    <w:name w:val="TAC"/>
    <w:basedOn w:val="62"/>
    <w:qFormat/>
    <w:uiPriority w:val="0"/>
    <w:pPr>
      <w:spacing w:line="240" w:lineRule="auto"/>
      <w:jc w:val="center"/>
    </w:pPr>
    <w:rPr>
      <w:szCs w:val="20"/>
      <w:lang w:val="en-GB" w:eastAsia="en-US"/>
    </w:rPr>
  </w:style>
  <w:style w:type="paragraph" w:customStyle="1" w:styleId="62">
    <w:name w:val="TAL"/>
    <w:basedOn w:val="1"/>
    <w:qFormat/>
    <w:uiPriority w:val="0"/>
    <w:pPr>
      <w:keepNext/>
      <w:keepLines/>
      <w:spacing w:after="0"/>
    </w:pPr>
    <w:rPr>
      <w:rFonts w:ascii="Arial" w:hAnsi="Arial"/>
      <w:sz w:val="18"/>
    </w:rPr>
  </w:style>
  <w:style w:type="paragraph" w:customStyle="1" w:styleId="63">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4">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5">
    <w:name w:val="标题 4 字符"/>
    <w:link w:val="5"/>
    <w:qFormat/>
    <w:uiPriority w:val="0"/>
    <w:rPr>
      <w:rFonts w:ascii="Times New Roman" w:hAnsi="Times New Roman"/>
      <w:b/>
      <w:sz w:val="28"/>
      <w:szCs w:val="28"/>
      <w:lang w:val="en-GB"/>
    </w:rPr>
  </w:style>
  <w:style w:type="character" w:customStyle="1" w:styleId="66">
    <w:name w:val="标题 5 字符"/>
    <w:link w:val="6"/>
    <w:qFormat/>
    <w:uiPriority w:val="0"/>
    <w:rPr>
      <w:rFonts w:ascii="Times New Roman" w:hAnsi="Times New Roman"/>
      <w:b/>
      <w:sz w:val="24"/>
      <w:szCs w:val="24"/>
      <w:lang w:val="en-GB"/>
    </w:rPr>
  </w:style>
  <w:style w:type="character" w:customStyle="1" w:styleId="67">
    <w:name w:val="apple-converted-space"/>
    <w:basedOn w:val="29"/>
    <w:qFormat/>
    <w:uiPriority w:val="0"/>
  </w:style>
  <w:style w:type="character" w:customStyle="1" w:styleId="68">
    <w:name w:val="列出段落 Char"/>
    <w:link w:val="54"/>
    <w:qFormat/>
    <w:locked/>
    <w:uiPriority w:val="34"/>
    <w:rPr>
      <w:rFonts w:ascii="Times New Roman" w:hAnsi="Times New Roman"/>
      <w:kern w:val="2"/>
      <w:sz w:val="21"/>
      <w:szCs w:val="24"/>
    </w:rPr>
  </w:style>
  <w:style w:type="character" w:customStyle="1" w:styleId="69">
    <w:name w:val="keyword"/>
    <w:basedOn w:val="29"/>
    <w:qFormat/>
    <w:uiPriority w:val="0"/>
  </w:style>
  <w:style w:type="paragraph" w:customStyle="1" w:styleId="70">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1">
    <w:name w:val="Doc-text2"/>
    <w:basedOn w:val="1"/>
    <w:link w:val="7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2">
    <w:name w:val="Doc-text2 Char"/>
    <w:link w:val="71"/>
    <w:qFormat/>
    <w:uiPriority w:val="0"/>
    <w:rPr>
      <w:rFonts w:ascii="Arial" w:hAnsi="Arial" w:eastAsia="MS Mincho"/>
      <w:szCs w:val="24"/>
      <w:lang w:val="en-GB" w:eastAsia="en-GB"/>
    </w:rPr>
  </w:style>
  <w:style w:type="character" w:customStyle="1" w:styleId="73">
    <w:name w:val="正文文本缩进 字符"/>
    <w:basedOn w:val="29"/>
    <w:link w:val="19"/>
    <w:semiHidden/>
    <w:qFormat/>
    <w:uiPriority w:val="99"/>
    <w:rPr>
      <w:sz w:val="22"/>
      <w:szCs w:val="22"/>
    </w:rPr>
  </w:style>
  <w:style w:type="paragraph" w:customStyle="1" w:styleId="74">
    <w:name w:val="main text"/>
    <w:basedOn w:val="1"/>
    <w:link w:val="75"/>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5">
    <w:name w:val="main text Char"/>
    <w:link w:val="74"/>
    <w:qFormat/>
    <w:uiPriority w:val="0"/>
    <w:rPr>
      <w:rFonts w:ascii="Times New Roman" w:hAnsi="Times New Roman" w:eastAsia="Malgun Gothic"/>
      <w:lang w:val="en-GB" w:eastAsia="ko-KR"/>
    </w:rPr>
  </w:style>
  <w:style w:type="paragraph" w:customStyle="1" w:styleId="76">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7">
    <w:name w:val="样式 正文缩进d + 首行缩进:  2 字符 段前: 0.35 行"/>
    <w:basedOn w:val="14"/>
    <w:link w:val="78"/>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8">
    <w:name w:val="样式 正文缩进d + 首行缩进:  2 字符 段前: 0.35 行 Char"/>
    <w:link w:val="77"/>
    <w:qFormat/>
    <w:uiPriority w:val="0"/>
    <w:rPr>
      <w:rFonts w:ascii="Times New Roman" w:hAnsi="Times New Roman" w:eastAsia="楷体_GB2312"/>
      <w:snapToGrid w:val="0"/>
      <w:sz w:val="28"/>
    </w:rPr>
  </w:style>
  <w:style w:type="paragraph" w:customStyle="1" w:styleId="79">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0">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1">
    <w:name w:val="TAH Car"/>
    <w:link w:val="60"/>
    <w:qFormat/>
    <w:uiPriority w:val="0"/>
    <w:rPr>
      <w:rFonts w:ascii="Arial" w:hAnsi="Arial"/>
      <w:b/>
      <w:sz w:val="18"/>
      <w:lang w:val="en-GB" w:eastAsia="en-US"/>
    </w:rPr>
  </w:style>
  <w:style w:type="paragraph" w:customStyle="1" w:styleId="82">
    <w:name w:val="_Style 1"/>
    <w:basedOn w:val="1"/>
    <w:qFormat/>
    <w:uiPriority w:val="34"/>
    <w:pPr>
      <w:ind w:left="840" w:leftChars="400"/>
    </w:pPr>
  </w:style>
  <w:style w:type="paragraph" w:customStyle="1" w:styleId="83">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4">
    <w:name w:val="B1"/>
    <w:basedOn w:val="13"/>
    <w:link w:val="87"/>
    <w:qFormat/>
    <w:uiPriority w:val="99"/>
  </w:style>
  <w:style w:type="paragraph" w:customStyle="1" w:styleId="85">
    <w:name w:val="EQ"/>
    <w:basedOn w:val="1"/>
    <w:next w:val="1"/>
    <w:unhideWhenUsed/>
    <w:qFormat/>
    <w:uiPriority w:val="0"/>
    <w:pPr>
      <w:keepLines/>
      <w:tabs>
        <w:tab w:val="center" w:pos="4536"/>
        <w:tab w:val="right" w:pos="9072"/>
      </w:tabs>
    </w:pPr>
    <w:rPr>
      <w:sz w:val="24"/>
    </w:rPr>
  </w:style>
  <w:style w:type="paragraph" w:customStyle="1" w:styleId="86">
    <w:name w:val="List Paragraph2"/>
    <w:basedOn w:val="1"/>
    <w:qFormat/>
    <w:uiPriority w:val="99"/>
    <w:pPr>
      <w:ind w:firstLine="420" w:firstLineChars="200"/>
    </w:pPr>
  </w:style>
  <w:style w:type="character" w:customStyle="1" w:styleId="87">
    <w:name w:val="B1 (文字)"/>
    <w:link w:val="84"/>
    <w:qFormat/>
    <w:locked/>
    <w:uiPriority w:val="99"/>
    <w:rPr>
      <w:rFonts w:ascii="Calibri" w:hAnsi="Calibri" w:eastAsiaTheme="minorEastAsia"/>
      <w:sz w:val="22"/>
      <w:szCs w:val="22"/>
    </w:rPr>
  </w:style>
  <w:style w:type="paragraph" w:customStyle="1" w:styleId="8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9">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0">
    <w:name w:val="列出段落2"/>
    <w:basedOn w:val="1"/>
    <w:qFormat/>
    <w:uiPriority w:val="99"/>
    <w:pPr>
      <w:ind w:firstLine="420" w:firstLineChars="200"/>
    </w:pPr>
  </w:style>
  <w:style w:type="paragraph" w:customStyle="1" w:styleId="91">
    <w:name w:val="3GPP Agreements"/>
    <w:basedOn w:val="1"/>
    <w:qFormat/>
    <w:uiPriority w:val="0"/>
    <w:pPr>
      <w:numPr>
        <w:ilvl w:val="0"/>
        <w:numId w:val="2"/>
      </w:numPr>
      <w:spacing w:before="60" w:after="60"/>
      <w:jc w:val="both"/>
    </w:pPr>
  </w:style>
  <w:style w:type="character" w:customStyle="1" w:styleId="92">
    <w:name w:val="normaltextrun"/>
    <w:qFormat/>
    <w:uiPriority w:val="0"/>
  </w:style>
  <w:style w:type="character" w:customStyle="1" w:styleId="93">
    <w:name w:val="spellingerror"/>
    <w:qFormat/>
    <w:uiPriority w:val="0"/>
  </w:style>
  <w:style w:type="paragraph" w:styleId="94">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5">
    <w:name w:val="10"/>
    <w:basedOn w:val="29"/>
    <w:qFormat/>
    <w:uiPriority w:val="0"/>
    <w:rPr>
      <w:rFonts w:hint="default" w:ascii="Times New Roman" w:hAnsi="Times New Roman" w:cs="Times New Roman"/>
    </w:rPr>
  </w:style>
  <w:style w:type="character" w:customStyle="1" w:styleId="96">
    <w:name w:val="15"/>
    <w:basedOn w:val="29"/>
    <w:qFormat/>
    <w:uiPriority w:val="0"/>
    <w:rPr>
      <w:rFonts w:hint="default" w:ascii="Times New Roman" w:hAnsi="Times New Roman" w:cs="Times New Roman"/>
    </w:rPr>
  </w:style>
  <w:style w:type="paragraph" w:customStyle="1" w:styleId="97">
    <w:name w:val="TAL+B1"/>
    <w:basedOn w:val="62"/>
    <w:qFormat/>
    <w:uiPriority w:val="0"/>
    <w:pPr>
      <w:widowControl w:val="0"/>
      <w:spacing w:before="100" w:beforeAutospacing="1" w:line="240" w:lineRule="auto"/>
      <w:ind w:left="284"/>
    </w:pPr>
    <w:rPr>
      <w:rFonts w:eastAsia="Times New Roman"/>
      <w:szCs w:val="18"/>
    </w:rPr>
  </w:style>
  <w:style w:type="paragraph" w:customStyle="1" w:styleId="98">
    <w:name w:val="TAL+B2"/>
    <w:basedOn w:val="97"/>
    <w:qFormat/>
    <w:uiPriority w:val="0"/>
    <w:pPr>
      <w:ind w:left="568"/>
    </w:pPr>
  </w:style>
  <w:style w:type="paragraph" w:customStyle="1" w:styleId="99">
    <w:name w:val="TAL+B3"/>
    <w:basedOn w:val="98"/>
    <w:qFormat/>
    <w:uiPriority w:val="0"/>
    <w:pPr>
      <w:ind w:left="852"/>
    </w:pPr>
  </w:style>
  <w:style w:type="paragraph" w:customStyle="1" w:styleId="100">
    <w:name w:val="TAL+B4"/>
    <w:basedOn w:val="99"/>
    <w:qFormat/>
    <w:uiPriority w:val="0"/>
    <w:pPr>
      <w:ind w:left="1136"/>
    </w:pPr>
  </w:style>
  <w:style w:type="paragraph" w:customStyle="1" w:styleId="101">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2">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3">
    <w:name w:val="EmailDiscussion"/>
    <w:basedOn w:val="1"/>
    <w:next w:val="102"/>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4">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5">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6">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styleId="107">
    <w:name w:val="Placeholder Text"/>
    <w:basedOn w:val="29"/>
    <w:semiHidden/>
    <w:qFormat/>
    <w:uiPriority w:val="99"/>
    <w:rPr>
      <w:color w:val="808080"/>
    </w:rPr>
  </w:style>
  <w:style w:type="paragraph" w:customStyle="1" w:styleId="108">
    <w:name w:val="修订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09">
    <w:name w:val="0 Main text"/>
    <w:basedOn w:val="1"/>
    <w:qFormat/>
    <w:uiPriority w:val="0"/>
    <w:pPr>
      <w:jc w:val="both"/>
    </w:pPr>
    <w:rPr>
      <w:rFonts w:ascii="Times New Roman" w:hAnsi="Times New Roman" w:eastAsia="Malgun Gothic"/>
      <w:szCs w:val="20"/>
    </w:rPr>
  </w:style>
  <w:style w:type="paragraph" w:customStyle="1" w:styleId="11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11">
    <w:name w:val="3GPP H1"/>
    <w:basedOn w:val="2"/>
    <w:next w:val="101"/>
    <w:qFormat/>
    <w:uiPriority w:val="0"/>
  </w:style>
  <w:style w:type="paragraph" w:customStyle="1" w:styleId="112">
    <w:name w:val="PatApp Body"/>
    <w:basedOn w:val="1"/>
    <w:qFormat/>
    <w:uiPriority w:val="0"/>
    <w:pPr>
      <w:widowControl/>
      <w:numPr>
        <w:ilvl w:val="0"/>
        <w:numId w:val="3"/>
      </w:numPr>
      <w:spacing w:line="480" w:lineRule="auto"/>
      <w:jc w:val="left"/>
    </w:pPr>
    <w:rPr>
      <w:rFonts w:eastAsia="Times New Roman"/>
      <w:snapToGrid w:val="0"/>
      <w:kern w:val="0"/>
      <w:sz w:val="24"/>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wmf"/><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D4460E-2523-4CB4-8818-0F02F8FC15FC}">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18</Pages>
  <Words>8378</Words>
  <Characters>47758</Characters>
  <Lines>397</Lines>
  <Paragraphs>112</Paragraphs>
  <TotalTime>0</TotalTime>
  <ScaleCrop>false</ScaleCrop>
  <LinksUpToDate>false</LinksUpToDate>
  <CharactersWithSpaces>56024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2022-07-19T02:09:00Z</dcterms:created>
  <dc:creator>ZTE</dc:creator>
  <cp:lastModifiedBy>00335016</cp:lastModifiedBy>
  <dcterms:modified xsi:type="dcterms:W3CDTF">2023-04-07T09:17:37Z</dcterms:modified>
  <cp:revision>1008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